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C1" w:rsidRPr="009D3AE4" w:rsidRDefault="00E324FD" w:rsidP="00E324FD">
      <w:pPr>
        <w:jc w:val="center"/>
        <w:rPr>
          <w:rFonts w:ascii="Times New Roman" w:hAnsi="Times New Roman" w:cs="Times New Roman"/>
          <w:b/>
        </w:rPr>
      </w:pPr>
      <w:r w:rsidRPr="009D3AE4">
        <w:rPr>
          <w:rFonts w:ascii="Times New Roman" w:hAnsi="Times New Roman" w:cs="Times New Roman"/>
          <w:b/>
        </w:rPr>
        <w:t>INFORMACJA  DODATKOWA</w:t>
      </w:r>
    </w:p>
    <w:p w:rsidR="00E324FD" w:rsidRPr="008E0A44" w:rsidRDefault="00E324FD" w:rsidP="00E324F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24FD" w:rsidRPr="009D3AE4" w:rsidRDefault="00E324FD" w:rsidP="00E324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D3AE4">
        <w:rPr>
          <w:rFonts w:ascii="Times New Roman" w:hAnsi="Times New Roman" w:cs="Times New Roman"/>
          <w:b/>
        </w:rPr>
        <w:t>Wprowadzenie do sprawozdania finansowego</w:t>
      </w:r>
    </w:p>
    <w:p w:rsidR="00523EB7" w:rsidRPr="009D3AE4" w:rsidRDefault="00523EB7" w:rsidP="00523EB7">
      <w:pPr>
        <w:pStyle w:val="Akapitzlist"/>
        <w:rPr>
          <w:rFonts w:ascii="Times New Roman" w:hAnsi="Times New Roman" w:cs="Times New Roman"/>
          <w:b/>
        </w:rPr>
      </w:pPr>
    </w:p>
    <w:p w:rsidR="00E324FD" w:rsidRPr="009D3AE4" w:rsidRDefault="00E324FD" w:rsidP="001A433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9D3AE4">
        <w:rPr>
          <w:rFonts w:ascii="Times New Roman" w:hAnsi="Times New Roman" w:cs="Times New Roman"/>
        </w:rPr>
        <w:t>- Gminna Biblioteka Publiczna w Brudzeniu Dużym jes</w:t>
      </w:r>
      <w:r w:rsidR="007F6B67" w:rsidRPr="009D3AE4">
        <w:rPr>
          <w:rFonts w:ascii="Times New Roman" w:hAnsi="Times New Roman" w:cs="Times New Roman"/>
        </w:rPr>
        <w:t>t samorządową instytucją kultury</w:t>
      </w:r>
      <w:r w:rsidRPr="009D3AE4">
        <w:rPr>
          <w:rFonts w:ascii="Times New Roman" w:hAnsi="Times New Roman" w:cs="Times New Roman"/>
        </w:rPr>
        <w:t xml:space="preserve">, wpisaną do rejestru instytucji kultury pod numerem 1/2004 dnia 26.04.2004 r. </w:t>
      </w:r>
    </w:p>
    <w:p w:rsidR="001A4333" w:rsidRPr="009D3AE4" w:rsidRDefault="001A4333" w:rsidP="001A433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9D3AE4">
        <w:rPr>
          <w:rFonts w:ascii="Times New Roman" w:hAnsi="Times New Roman" w:cs="Times New Roman"/>
        </w:rPr>
        <w:t>- s</w:t>
      </w:r>
      <w:r w:rsidR="00E324FD" w:rsidRPr="009D3AE4">
        <w:rPr>
          <w:rFonts w:ascii="Times New Roman" w:hAnsi="Times New Roman" w:cs="Times New Roman"/>
        </w:rPr>
        <w:t xml:space="preserve">iedziba biblioteki mieści się na ul. Szkolnej 15 w Brudzeniu Dużym. Gminna Biblioteka Publiczna realizuje swoje zadania bezpośrednio w swojej siedzibie oraz za pośrednictwem filii </w:t>
      </w:r>
      <w:r w:rsidRPr="009D3AE4">
        <w:rPr>
          <w:rFonts w:ascii="Times New Roman" w:hAnsi="Times New Roman" w:cs="Times New Roman"/>
        </w:rPr>
        <w:t>z</w:t>
      </w:r>
      <w:r w:rsidR="00E324FD" w:rsidRPr="009D3AE4">
        <w:rPr>
          <w:rFonts w:ascii="Times New Roman" w:hAnsi="Times New Roman" w:cs="Times New Roman"/>
        </w:rPr>
        <w:t xml:space="preserve">lokalizowanych w Siecieniu i Sikorzu. </w:t>
      </w:r>
    </w:p>
    <w:p w:rsidR="001A4333" w:rsidRPr="009D3AE4" w:rsidRDefault="001A4333" w:rsidP="001A433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9D3AE4">
        <w:rPr>
          <w:rFonts w:ascii="Times New Roman" w:hAnsi="Times New Roman" w:cs="Times New Roman"/>
        </w:rPr>
        <w:t xml:space="preserve">- biblioteką zarządza i reprezentuje na zewnątrz Dyrektor powoływany i odwoływany przez Wójta Gminy </w:t>
      </w:r>
    </w:p>
    <w:p w:rsidR="00E324FD" w:rsidRPr="009D3AE4" w:rsidRDefault="001A4333" w:rsidP="001A433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9D3AE4">
        <w:rPr>
          <w:rFonts w:ascii="Times New Roman" w:hAnsi="Times New Roman" w:cs="Times New Roman"/>
        </w:rPr>
        <w:t>- p</w:t>
      </w:r>
      <w:r w:rsidR="00E324FD" w:rsidRPr="009D3AE4">
        <w:rPr>
          <w:rFonts w:ascii="Times New Roman" w:hAnsi="Times New Roman" w:cs="Times New Roman"/>
        </w:rPr>
        <w:t xml:space="preserve">odstawowym przedmiotem działalności jest prowadzenie działalności kulturalnej. </w:t>
      </w:r>
    </w:p>
    <w:p w:rsidR="001A4333" w:rsidRPr="009D3AE4" w:rsidRDefault="001A4333" w:rsidP="001A433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9D3AE4">
        <w:rPr>
          <w:rFonts w:ascii="Times New Roman" w:hAnsi="Times New Roman" w:cs="Times New Roman"/>
        </w:rPr>
        <w:t>- rokiem obrotowym jest rok kalendarzowy</w:t>
      </w:r>
    </w:p>
    <w:p w:rsidR="00E324FD" w:rsidRPr="009D3AE4" w:rsidRDefault="00E324FD" w:rsidP="001A433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9D3AE4">
        <w:rPr>
          <w:rFonts w:ascii="Times New Roman" w:hAnsi="Times New Roman" w:cs="Times New Roman"/>
        </w:rPr>
        <w:t xml:space="preserve">- sprawozdanie finansowe obejmuje okres od 01.01.2018 r. do 31.12.2018 r. </w:t>
      </w:r>
    </w:p>
    <w:p w:rsidR="00523EB7" w:rsidRPr="009D3AE4" w:rsidRDefault="00E324FD" w:rsidP="001A433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9D3AE4">
        <w:rPr>
          <w:rFonts w:ascii="Times New Roman" w:hAnsi="Times New Roman" w:cs="Times New Roman"/>
        </w:rPr>
        <w:t xml:space="preserve">- </w:t>
      </w:r>
      <w:r w:rsidR="001A4333" w:rsidRPr="009D3AE4">
        <w:rPr>
          <w:rFonts w:ascii="Times New Roman" w:hAnsi="Times New Roman" w:cs="Times New Roman"/>
        </w:rPr>
        <w:t>sprawozdanie sporządzono przy założeniu kontynuacji działalności jednostki</w:t>
      </w:r>
    </w:p>
    <w:p w:rsidR="00523EB7" w:rsidRPr="009D3AE4" w:rsidRDefault="00523EB7" w:rsidP="001A433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9D3AE4">
        <w:rPr>
          <w:rFonts w:ascii="Times New Roman" w:hAnsi="Times New Roman" w:cs="Times New Roman"/>
        </w:rPr>
        <w:t>- aktywa i pasywa wyceniane są przy uwzględnieniu nadrzędnych zasad rachunkowości w sposób przewidziany ustawą o rachunkowości</w:t>
      </w:r>
    </w:p>
    <w:p w:rsidR="003E1C07" w:rsidRPr="009D3AE4" w:rsidRDefault="003E1C07" w:rsidP="001A433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9D3AE4">
        <w:rPr>
          <w:rFonts w:ascii="Times New Roman" w:hAnsi="Times New Roman" w:cs="Times New Roman"/>
        </w:rPr>
        <w:t xml:space="preserve">- składniki majątku mające cechy środków trwałych lub wartości niematerialnych i prawnych oraz wartość początkową poniżej 500,00 </w:t>
      </w:r>
      <w:r w:rsidR="00E45996" w:rsidRPr="009D3AE4">
        <w:rPr>
          <w:rFonts w:ascii="Times New Roman" w:hAnsi="Times New Roman" w:cs="Times New Roman"/>
        </w:rPr>
        <w:t>zł</w:t>
      </w:r>
      <w:r w:rsidR="007F6B67" w:rsidRPr="009D3AE4">
        <w:rPr>
          <w:rFonts w:ascii="Times New Roman" w:hAnsi="Times New Roman" w:cs="Times New Roman"/>
        </w:rPr>
        <w:t xml:space="preserve"> </w:t>
      </w:r>
      <w:r w:rsidRPr="009D3AE4">
        <w:rPr>
          <w:rFonts w:ascii="Times New Roman" w:hAnsi="Times New Roman" w:cs="Times New Roman"/>
        </w:rPr>
        <w:t>jednostka zalicza bezpośrednio w koszty</w:t>
      </w:r>
    </w:p>
    <w:p w:rsidR="00575300" w:rsidRPr="009D3AE4" w:rsidRDefault="00575300" w:rsidP="001A433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9D3AE4">
        <w:rPr>
          <w:rFonts w:ascii="Times New Roman" w:hAnsi="Times New Roman" w:cs="Times New Roman"/>
        </w:rPr>
        <w:t xml:space="preserve">- składniki majątku spełniające warunki zaliczenia ich do środków trwałych lub wartości niematerialnych i prawnych o wartości początkowej od 500 </w:t>
      </w:r>
      <w:r w:rsidR="007F6B67" w:rsidRPr="009D3AE4">
        <w:rPr>
          <w:rFonts w:ascii="Times New Roman" w:hAnsi="Times New Roman" w:cs="Times New Roman"/>
        </w:rPr>
        <w:t xml:space="preserve">zł </w:t>
      </w:r>
      <w:r w:rsidRPr="009D3AE4">
        <w:rPr>
          <w:rFonts w:ascii="Times New Roman" w:hAnsi="Times New Roman" w:cs="Times New Roman"/>
        </w:rPr>
        <w:t xml:space="preserve">do 10 000,00 zł </w:t>
      </w:r>
      <w:r w:rsidR="009D3AE4" w:rsidRPr="009D3AE4">
        <w:rPr>
          <w:rFonts w:ascii="Times New Roman" w:hAnsi="Times New Roman" w:cs="Times New Roman"/>
        </w:rPr>
        <w:t>amortyzuje się w sposób uproszczony, dokonując jednorazowego odpisu ich pełnej wartości w momencie przekazania do używania i prowadzi ich ewidencję pozaksięgową</w:t>
      </w:r>
    </w:p>
    <w:p w:rsidR="00E45996" w:rsidRPr="009D3AE4" w:rsidRDefault="00523EB7" w:rsidP="001A433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9D3AE4">
        <w:rPr>
          <w:rFonts w:ascii="Times New Roman" w:hAnsi="Times New Roman" w:cs="Times New Roman"/>
        </w:rPr>
        <w:t xml:space="preserve">- </w:t>
      </w:r>
      <w:r w:rsidR="00E45996" w:rsidRPr="009D3AE4">
        <w:rPr>
          <w:rFonts w:ascii="Times New Roman" w:hAnsi="Times New Roman" w:cs="Times New Roman"/>
        </w:rPr>
        <w:t xml:space="preserve">składniki majątku o wartości początkowej powyżej </w:t>
      </w:r>
      <w:r w:rsidRPr="009D3AE4">
        <w:rPr>
          <w:rFonts w:ascii="Times New Roman" w:hAnsi="Times New Roman" w:cs="Times New Roman"/>
        </w:rPr>
        <w:t xml:space="preserve"> 10</w:t>
      </w:r>
      <w:r w:rsidR="003E1C07" w:rsidRPr="009D3AE4">
        <w:rPr>
          <w:rFonts w:ascii="Times New Roman" w:hAnsi="Times New Roman" w:cs="Times New Roman"/>
        </w:rPr>
        <w:t xml:space="preserve"> </w:t>
      </w:r>
      <w:r w:rsidRPr="009D3AE4">
        <w:rPr>
          <w:rFonts w:ascii="Times New Roman" w:hAnsi="Times New Roman" w:cs="Times New Roman"/>
        </w:rPr>
        <w:t xml:space="preserve">000,00 zł </w:t>
      </w:r>
      <w:r w:rsidR="00E45996" w:rsidRPr="009D3AE4">
        <w:rPr>
          <w:rFonts w:ascii="Times New Roman" w:hAnsi="Times New Roman" w:cs="Times New Roman"/>
        </w:rPr>
        <w:t xml:space="preserve">jednostka zalicza do środków trwałych lub wartości niematerialnych i prawnych oraz wprowadza do ewidencji bilansowej tych aktywów. Dokonywanie odpisów amortyzacyjnych metodą liniową rozpoczyna się począwszy od miesiąca następującego po miesiącu oddania składnika do używania, według stawek podatkowych. </w:t>
      </w:r>
    </w:p>
    <w:p w:rsidR="00523EB7" w:rsidRPr="009D3AE4" w:rsidRDefault="00523EB7" w:rsidP="001A433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9D3AE4">
        <w:rPr>
          <w:rFonts w:ascii="Times New Roman" w:hAnsi="Times New Roman" w:cs="Times New Roman"/>
        </w:rPr>
        <w:t>- ewidencję kosztów prowadzi się według rodzajów na kontach zespołu 4</w:t>
      </w:r>
    </w:p>
    <w:p w:rsidR="00523EB7" w:rsidRPr="009D3AE4" w:rsidRDefault="00523EB7" w:rsidP="001A433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9D3AE4">
        <w:rPr>
          <w:rFonts w:ascii="Times New Roman" w:hAnsi="Times New Roman" w:cs="Times New Roman"/>
        </w:rPr>
        <w:t xml:space="preserve">- rachunek zysków i strat sporządzany jest  wariancie porównawczym. </w:t>
      </w:r>
    </w:p>
    <w:p w:rsidR="00E324FD" w:rsidRPr="008E0A44" w:rsidRDefault="001A4333" w:rsidP="00523EB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A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24FD" w:rsidRDefault="00E324FD" w:rsidP="00E324FD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45996" w:rsidRDefault="00E45996" w:rsidP="00E324FD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45996" w:rsidRDefault="00E45996" w:rsidP="00E324FD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45996" w:rsidRDefault="00E45996" w:rsidP="00E324FD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45996" w:rsidRDefault="00E45996" w:rsidP="00E324FD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45996" w:rsidRDefault="00E45996" w:rsidP="00E324FD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45996" w:rsidRDefault="00E45996" w:rsidP="00E324FD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45996" w:rsidRDefault="00E45996" w:rsidP="00E324FD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45996" w:rsidRDefault="00E45996" w:rsidP="00E324FD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45996" w:rsidRDefault="00E45996" w:rsidP="00E324FD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45996" w:rsidRDefault="00E45996" w:rsidP="00E324FD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45996" w:rsidRDefault="00E45996" w:rsidP="00E324FD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45996" w:rsidRDefault="00E45996" w:rsidP="00E324FD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45996" w:rsidRDefault="00E45996" w:rsidP="00E324FD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45996" w:rsidRDefault="00E45996" w:rsidP="00E324FD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45996" w:rsidRDefault="00E45996" w:rsidP="00E324FD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45996" w:rsidRDefault="00E45996" w:rsidP="00E324FD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45996" w:rsidRPr="009D3AE4" w:rsidRDefault="00E45996" w:rsidP="00E324FD">
      <w:pPr>
        <w:pStyle w:val="Akapitzlist"/>
        <w:rPr>
          <w:rFonts w:ascii="Times New Roman" w:hAnsi="Times New Roman" w:cs="Times New Roman"/>
          <w:b/>
        </w:rPr>
      </w:pPr>
    </w:p>
    <w:p w:rsidR="00E324FD" w:rsidRPr="009D3AE4" w:rsidRDefault="00E324FD" w:rsidP="00E324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D3AE4">
        <w:rPr>
          <w:rFonts w:ascii="Times New Roman" w:hAnsi="Times New Roman" w:cs="Times New Roman"/>
          <w:b/>
        </w:rPr>
        <w:t xml:space="preserve">Dodatkowe informacje i objaśnienia </w:t>
      </w:r>
    </w:p>
    <w:p w:rsidR="00523EB7" w:rsidRPr="009D3AE4" w:rsidRDefault="00523EB7" w:rsidP="00523EB7">
      <w:pPr>
        <w:pStyle w:val="Akapitzlist"/>
        <w:rPr>
          <w:rFonts w:ascii="Times New Roman" w:hAnsi="Times New Roman" w:cs="Times New Roman"/>
          <w:b/>
        </w:rPr>
      </w:pPr>
    </w:p>
    <w:p w:rsidR="00523EB7" w:rsidRPr="009D3AE4" w:rsidRDefault="00523EB7" w:rsidP="00523EB7">
      <w:pPr>
        <w:pStyle w:val="Akapitzlist"/>
        <w:rPr>
          <w:rFonts w:ascii="Times New Roman" w:hAnsi="Times New Roman" w:cs="Times New Roman"/>
        </w:rPr>
      </w:pPr>
      <w:r w:rsidRPr="009D3AE4">
        <w:rPr>
          <w:rFonts w:ascii="Times New Roman" w:hAnsi="Times New Roman" w:cs="Times New Roman"/>
        </w:rPr>
        <w:t>- aktywa trwałe ujęto w bilansie w wartości netto tj. wartość brutto pomniejszona o odpisy amortyzacyjne</w:t>
      </w:r>
    </w:p>
    <w:p w:rsidR="002A058A" w:rsidRDefault="002A058A" w:rsidP="00523EB7">
      <w:pPr>
        <w:pStyle w:val="Akapitzlist"/>
        <w:rPr>
          <w:rFonts w:ascii="Times New Roman" w:hAnsi="Times New Roman" w:cs="Times New Roman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275"/>
        <w:gridCol w:w="1134"/>
        <w:gridCol w:w="1276"/>
        <w:gridCol w:w="1134"/>
        <w:gridCol w:w="992"/>
        <w:gridCol w:w="1276"/>
        <w:gridCol w:w="992"/>
        <w:gridCol w:w="993"/>
      </w:tblGrid>
      <w:tr w:rsidR="002A058A" w:rsidRPr="002A058A" w:rsidTr="002A058A">
        <w:trPr>
          <w:trHeight w:val="975"/>
        </w:trPr>
        <w:tc>
          <w:tcPr>
            <w:tcW w:w="1135" w:type="dxa"/>
            <w:vMerge w:val="restart"/>
          </w:tcPr>
          <w:p w:rsidR="002A058A" w:rsidRPr="002A058A" w:rsidRDefault="002A058A" w:rsidP="002A0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58A">
              <w:rPr>
                <w:rFonts w:ascii="Times New Roman" w:hAnsi="Times New Roman" w:cs="Times New Roman"/>
                <w:b/>
                <w:sz w:val="18"/>
                <w:szCs w:val="18"/>
              </w:rPr>
              <w:t>Nazwa środka trwałego</w:t>
            </w:r>
          </w:p>
        </w:tc>
        <w:tc>
          <w:tcPr>
            <w:tcW w:w="1275" w:type="dxa"/>
            <w:vMerge w:val="restart"/>
          </w:tcPr>
          <w:p w:rsidR="002A058A" w:rsidRPr="002A058A" w:rsidRDefault="002A058A" w:rsidP="002A05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58A">
              <w:rPr>
                <w:rFonts w:ascii="Times New Roman" w:hAnsi="Times New Roman" w:cs="Times New Roman"/>
                <w:b/>
                <w:sz w:val="18"/>
                <w:szCs w:val="18"/>
              </w:rPr>
              <w:t>Wartość początkowa (brutto)- stan na początek roku</w:t>
            </w:r>
          </w:p>
        </w:tc>
        <w:tc>
          <w:tcPr>
            <w:tcW w:w="1134" w:type="dxa"/>
            <w:vMerge w:val="restart"/>
          </w:tcPr>
          <w:p w:rsidR="002A058A" w:rsidRPr="002A058A" w:rsidRDefault="002A058A" w:rsidP="002A05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Zmniejszenia/ zwiększenia wartości początkowej</w:t>
            </w:r>
          </w:p>
        </w:tc>
        <w:tc>
          <w:tcPr>
            <w:tcW w:w="1276" w:type="dxa"/>
            <w:vMerge w:val="restart"/>
          </w:tcPr>
          <w:p w:rsidR="002A058A" w:rsidRPr="002A058A" w:rsidRDefault="002A058A" w:rsidP="002A05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 początkowa – stan na koniec roku obrotowego</w:t>
            </w:r>
          </w:p>
        </w:tc>
        <w:tc>
          <w:tcPr>
            <w:tcW w:w="1134" w:type="dxa"/>
            <w:vMerge w:val="restart"/>
          </w:tcPr>
          <w:p w:rsidR="002A058A" w:rsidRPr="002A058A" w:rsidRDefault="002A058A" w:rsidP="002A05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Umorzenie – stan na początek roku obrotowego </w:t>
            </w:r>
          </w:p>
        </w:tc>
        <w:tc>
          <w:tcPr>
            <w:tcW w:w="992" w:type="dxa"/>
            <w:vMerge w:val="restart"/>
          </w:tcPr>
          <w:p w:rsidR="002A058A" w:rsidRDefault="002A058A" w:rsidP="002A05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Zwiększenia (+) /zmniejszenia</w:t>
            </w:r>
          </w:p>
          <w:p w:rsidR="002A058A" w:rsidRPr="002A058A" w:rsidRDefault="002A058A" w:rsidP="002A05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(-)</w:t>
            </w:r>
          </w:p>
        </w:tc>
        <w:tc>
          <w:tcPr>
            <w:tcW w:w="1276" w:type="dxa"/>
            <w:vMerge w:val="restart"/>
          </w:tcPr>
          <w:p w:rsidR="002A058A" w:rsidRDefault="002A058A" w:rsidP="002A05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Umorzenie stan na</w:t>
            </w:r>
          </w:p>
          <w:p w:rsidR="002A058A" w:rsidRPr="002A058A" w:rsidRDefault="002A058A" w:rsidP="002A05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koniec roku obrotowego </w:t>
            </w:r>
          </w:p>
        </w:tc>
        <w:tc>
          <w:tcPr>
            <w:tcW w:w="1985" w:type="dxa"/>
            <w:gridSpan w:val="2"/>
          </w:tcPr>
          <w:p w:rsidR="002A058A" w:rsidRPr="002A058A" w:rsidRDefault="002A058A" w:rsidP="002A05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 netto środków trwałych</w:t>
            </w:r>
          </w:p>
        </w:tc>
      </w:tr>
      <w:tr w:rsidR="002A058A" w:rsidRPr="002A058A" w:rsidTr="002A058A">
        <w:trPr>
          <w:trHeight w:val="713"/>
        </w:trPr>
        <w:tc>
          <w:tcPr>
            <w:tcW w:w="1135" w:type="dxa"/>
            <w:vMerge/>
          </w:tcPr>
          <w:p w:rsidR="002A058A" w:rsidRPr="002A058A" w:rsidRDefault="002A058A" w:rsidP="002A0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A058A" w:rsidRPr="002A058A" w:rsidRDefault="002A058A" w:rsidP="002A05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058A" w:rsidRDefault="002A058A" w:rsidP="002A05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058A" w:rsidRDefault="002A058A" w:rsidP="002A05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058A" w:rsidRDefault="002A058A" w:rsidP="002A05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058A" w:rsidRDefault="002A058A" w:rsidP="002A05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058A" w:rsidRDefault="002A058A" w:rsidP="002A05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A058A" w:rsidRDefault="002A058A" w:rsidP="002A05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stan na początek roku</w:t>
            </w:r>
          </w:p>
        </w:tc>
        <w:tc>
          <w:tcPr>
            <w:tcW w:w="993" w:type="dxa"/>
          </w:tcPr>
          <w:p w:rsidR="002A058A" w:rsidRDefault="002A058A" w:rsidP="002A05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Stan na koniec roku</w:t>
            </w:r>
          </w:p>
        </w:tc>
      </w:tr>
      <w:tr w:rsidR="002A058A" w:rsidTr="002A058A">
        <w:trPr>
          <w:trHeight w:val="925"/>
        </w:trPr>
        <w:tc>
          <w:tcPr>
            <w:tcW w:w="1135" w:type="dxa"/>
          </w:tcPr>
          <w:p w:rsidR="002A058A" w:rsidRPr="002A058A" w:rsidRDefault="002A058A" w:rsidP="002A058A">
            <w:pPr>
              <w:pStyle w:val="Akapitzlist"/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r w:rsidRPr="002A058A">
              <w:rPr>
                <w:rFonts w:ascii="Times New Roman" w:hAnsi="Times New Roman" w:cs="Times New Roman"/>
                <w:sz w:val="18"/>
                <w:szCs w:val="18"/>
              </w:rPr>
              <w:t xml:space="preserve">Maszyny i urządzenia – zestawy komputerowe </w:t>
            </w:r>
          </w:p>
        </w:tc>
        <w:tc>
          <w:tcPr>
            <w:tcW w:w="1275" w:type="dxa"/>
          </w:tcPr>
          <w:p w:rsidR="002A058A" w:rsidRDefault="002A058A" w:rsidP="002A058A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58A" w:rsidRDefault="002A058A" w:rsidP="002A05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58A" w:rsidRPr="002A058A" w:rsidRDefault="002A058A" w:rsidP="002A05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32 830,60</w:t>
            </w:r>
          </w:p>
        </w:tc>
        <w:tc>
          <w:tcPr>
            <w:tcW w:w="1134" w:type="dxa"/>
          </w:tcPr>
          <w:p w:rsidR="002A058A" w:rsidRDefault="002A058A" w:rsidP="002A058A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58A" w:rsidRDefault="002A058A" w:rsidP="002A05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58A" w:rsidRPr="002A058A" w:rsidRDefault="002A058A" w:rsidP="002A05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A058A" w:rsidRDefault="002A058A" w:rsidP="002A05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58A" w:rsidRDefault="002A058A" w:rsidP="002A05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58A" w:rsidRPr="002A058A" w:rsidRDefault="002A058A" w:rsidP="002A05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32 830,60</w:t>
            </w:r>
          </w:p>
        </w:tc>
        <w:tc>
          <w:tcPr>
            <w:tcW w:w="1134" w:type="dxa"/>
          </w:tcPr>
          <w:p w:rsidR="002A058A" w:rsidRDefault="002A058A" w:rsidP="002A05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58A" w:rsidRDefault="002A058A" w:rsidP="002A05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58A" w:rsidRPr="002A058A" w:rsidRDefault="002A058A" w:rsidP="002A05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26 454,59</w:t>
            </w:r>
          </w:p>
        </w:tc>
        <w:tc>
          <w:tcPr>
            <w:tcW w:w="992" w:type="dxa"/>
          </w:tcPr>
          <w:p w:rsidR="002A058A" w:rsidRDefault="002A058A" w:rsidP="002A05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58A" w:rsidRDefault="002A058A" w:rsidP="002A05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58A" w:rsidRPr="002A058A" w:rsidRDefault="002A058A" w:rsidP="002A05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+ 2 638,35</w:t>
            </w:r>
          </w:p>
        </w:tc>
        <w:tc>
          <w:tcPr>
            <w:tcW w:w="1276" w:type="dxa"/>
          </w:tcPr>
          <w:p w:rsidR="002A058A" w:rsidRDefault="002A058A" w:rsidP="002A05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58A" w:rsidRDefault="002A058A" w:rsidP="002A05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58A" w:rsidRPr="002A058A" w:rsidRDefault="002A058A" w:rsidP="002A05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29 092,94</w:t>
            </w:r>
          </w:p>
        </w:tc>
        <w:tc>
          <w:tcPr>
            <w:tcW w:w="992" w:type="dxa"/>
          </w:tcPr>
          <w:p w:rsidR="002A058A" w:rsidRDefault="002A058A" w:rsidP="002A0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58A" w:rsidRDefault="002A058A" w:rsidP="002A0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6 376,01</w:t>
            </w:r>
          </w:p>
          <w:p w:rsidR="002A058A" w:rsidRPr="002A058A" w:rsidRDefault="002A058A" w:rsidP="002A05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A058A" w:rsidRDefault="002A058A" w:rsidP="002A0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58A" w:rsidRDefault="002A058A" w:rsidP="002A0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3 737,66</w:t>
            </w:r>
          </w:p>
          <w:p w:rsidR="002A058A" w:rsidRPr="002A058A" w:rsidRDefault="002A058A" w:rsidP="002A05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058A" w:rsidRDefault="002A058A" w:rsidP="00523EB7">
      <w:pPr>
        <w:pStyle w:val="Akapitzlist"/>
        <w:rPr>
          <w:rFonts w:ascii="Times New Roman" w:hAnsi="Times New Roman" w:cs="Times New Roman"/>
        </w:rPr>
      </w:pPr>
    </w:p>
    <w:p w:rsidR="00323499" w:rsidRDefault="00523EB7" w:rsidP="008E0A44">
      <w:pPr>
        <w:pStyle w:val="Akapitzlist"/>
        <w:jc w:val="both"/>
        <w:rPr>
          <w:rFonts w:ascii="Times New Roman" w:hAnsi="Times New Roman" w:cs="Times New Roman"/>
        </w:rPr>
      </w:pPr>
      <w:r w:rsidRPr="009D3AE4">
        <w:rPr>
          <w:rFonts w:ascii="Times New Roman" w:hAnsi="Times New Roman" w:cs="Times New Roman"/>
        </w:rPr>
        <w:t xml:space="preserve">- </w:t>
      </w:r>
      <w:r w:rsidR="00323499">
        <w:rPr>
          <w:rFonts w:ascii="Times New Roman" w:hAnsi="Times New Roman" w:cs="Times New Roman"/>
        </w:rPr>
        <w:t xml:space="preserve">Jednostka na dzień 31.12.2018 r. posiada środki pieniężne na rachunku bankowym Zakładowego Funduszu Świadczeń Socjalnych w kwocie 572,95 zł. </w:t>
      </w:r>
    </w:p>
    <w:p w:rsidR="00E324FD" w:rsidRPr="009D3AE4" w:rsidRDefault="00FE2823" w:rsidP="008E0A44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</w:t>
      </w:r>
      <w:r w:rsidR="003466E3" w:rsidRPr="009D3AE4">
        <w:rPr>
          <w:rFonts w:ascii="Times New Roman" w:hAnsi="Times New Roman" w:cs="Times New Roman"/>
        </w:rPr>
        <w:t>undusze specjalne stanowi Zakładowy Fundusz  Świadczeń S</w:t>
      </w:r>
      <w:r w:rsidR="008E0A44" w:rsidRPr="009D3AE4">
        <w:rPr>
          <w:rFonts w:ascii="Times New Roman" w:hAnsi="Times New Roman" w:cs="Times New Roman"/>
        </w:rPr>
        <w:t>ocjalnych w wysokości 572,95 zł</w:t>
      </w:r>
      <w:r w:rsidR="003466E3" w:rsidRPr="009D3AE4">
        <w:rPr>
          <w:rFonts w:ascii="Times New Roman" w:hAnsi="Times New Roman" w:cs="Times New Roman"/>
        </w:rPr>
        <w:t xml:space="preserve">, natomiast rozliczenia międzyokresowe </w:t>
      </w:r>
      <w:r w:rsidR="00A203FA" w:rsidRPr="009D3AE4">
        <w:rPr>
          <w:rFonts w:ascii="Times New Roman" w:hAnsi="Times New Roman" w:cs="Times New Roman"/>
        </w:rPr>
        <w:t>stanowi</w:t>
      </w:r>
      <w:r w:rsidR="008E0A44" w:rsidRPr="009D3AE4">
        <w:rPr>
          <w:rFonts w:ascii="Times New Roman" w:hAnsi="Times New Roman" w:cs="Times New Roman"/>
        </w:rPr>
        <w:t xml:space="preserve"> </w:t>
      </w:r>
      <w:r w:rsidR="00A203FA" w:rsidRPr="009D3AE4">
        <w:rPr>
          <w:rFonts w:ascii="Times New Roman" w:hAnsi="Times New Roman" w:cs="Times New Roman"/>
        </w:rPr>
        <w:t>kwota 3 737,66 zł rozliczana</w:t>
      </w:r>
      <w:r w:rsidR="003466E3" w:rsidRPr="009D3AE4">
        <w:rPr>
          <w:rFonts w:ascii="Times New Roman" w:hAnsi="Times New Roman" w:cs="Times New Roman"/>
        </w:rPr>
        <w:t xml:space="preserve"> sukcesywnie w korespondencji z pozostałymi przychodami operacyjnymi równolegle do dokonywanych odpisów amortyzacyjnych od środków trwałych</w:t>
      </w:r>
      <w:r w:rsidR="008E0A44" w:rsidRPr="009D3AE4">
        <w:rPr>
          <w:rFonts w:ascii="Times New Roman" w:hAnsi="Times New Roman" w:cs="Times New Roman"/>
        </w:rPr>
        <w:t xml:space="preserve"> zakupionych z dotacji zgodnie z Art. 41ust.1 pkt.2 ustawy o rachunkowości</w:t>
      </w:r>
      <w:r w:rsidR="00A203FA" w:rsidRPr="009D3AE4">
        <w:rPr>
          <w:rFonts w:ascii="Times New Roman" w:hAnsi="Times New Roman" w:cs="Times New Roman"/>
        </w:rPr>
        <w:t xml:space="preserve">. </w:t>
      </w:r>
      <w:r w:rsidR="008E0A44" w:rsidRPr="009D3AE4">
        <w:rPr>
          <w:rFonts w:ascii="Times New Roman" w:hAnsi="Times New Roman" w:cs="Times New Roman"/>
        </w:rPr>
        <w:t xml:space="preserve"> </w:t>
      </w:r>
    </w:p>
    <w:p w:rsidR="002922D6" w:rsidRPr="009D3AE4" w:rsidRDefault="002922D6" w:rsidP="008E0A44">
      <w:pPr>
        <w:pStyle w:val="Akapitzlist"/>
        <w:jc w:val="both"/>
        <w:rPr>
          <w:rFonts w:ascii="Times New Roman" w:hAnsi="Times New Roman" w:cs="Times New Roman"/>
        </w:rPr>
      </w:pPr>
      <w:r w:rsidRPr="009D3AE4">
        <w:rPr>
          <w:rFonts w:ascii="Times New Roman" w:hAnsi="Times New Roman" w:cs="Times New Roman"/>
        </w:rPr>
        <w:t>- wynik finans</w:t>
      </w:r>
      <w:r w:rsidR="00FE2823">
        <w:rPr>
          <w:rFonts w:ascii="Times New Roman" w:hAnsi="Times New Roman" w:cs="Times New Roman"/>
        </w:rPr>
        <w:t>owy za 2018  rok wynosi 0,00 zł.</w:t>
      </w:r>
    </w:p>
    <w:p w:rsidR="00E324FD" w:rsidRPr="009D3AE4" w:rsidRDefault="00E324FD" w:rsidP="00E324FD">
      <w:pPr>
        <w:pStyle w:val="Akapitzlist"/>
        <w:rPr>
          <w:rFonts w:ascii="Times New Roman" w:hAnsi="Times New Roman" w:cs="Times New Roman"/>
          <w:b/>
        </w:rPr>
      </w:pPr>
    </w:p>
    <w:p w:rsidR="00E324FD" w:rsidRDefault="00E324FD" w:rsidP="00E324FD">
      <w:pPr>
        <w:pStyle w:val="Akapitzlist"/>
        <w:rPr>
          <w:rFonts w:ascii="Times New Roman" w:hAnsi="Times New Roman" w:cs="Times New Roman"/>
          <w:b/>
        </w:rPr>
      </w:pPr>
    </w:p>
    <w:p w:rsidR="00E324FD" w:rsidRPr="00E324FD" w:rsidRDefault="00E324FD" w:rsidP="00E324FD">
      <w:pPr>
        <w:pStyle w:val="Akapitzlist"/>
        <w:rPr>
          <w:rFonts w:ascii="Times New Roman" w:hAnsi="Times New Roman" w:cs="Times New Roman"/>
          <w:b/>
        </w:rPr>
      </w:pPr>
    </w:p>
    <w:sectPr w:rsidR="00E324FD" w:rsidRPr="00E324FD" w:rsidSect="008E0A44">
      <w:footerReference w:type="default" r:id="rId8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D08" w:rsidRDefault="00982D08" w:rsidP="00523EB7">
      <w:pPr>
        <w:spacing w:after="0" w:line="240" w:lineRule="auto"/>
      </w:pPr>
      <w:r>
        <w:separator/>
      </w:r>
    </w:p>
  </w:endnote>
  <w:endnote w:type="continuationSeparator" w:id="0">
    <w:p w:rsidR="00982D08" w:rsidRDefault="00982D08" w:rsidP="0052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6446499"/>
      <w:docPartObj>
        <w:docPartGallery w:val="Page Numbers (Bottom of Page)"/>
        <w:docPartUnique/>
      </w:docPartObj>
    </w:sdtPr>
    <w:sdtContent>
      <w:p w:rsidR="005539BC" w:rsidRDefault="005539BC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539BC" w:rsidRDefault="005539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D08" w:rsidRDefault="00982D08" w:rsidP="00523EB7">
      <w:pPr>
        <w:spacing w:after="0" w:line="240" w:lineRule="auto"/>
      </w:pPr>
      <w:r>
        <w:separator/>
      </w:r>
    </w:p>
  </w:footnote>
  <w:footnote w:type="continuationSeparator" w:id="0">
    <w:p w:rsidR="00982D08" w:rsidRDefault="00982D08" w:rsidP="0052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A6DF9"/>
    <w:multiLevelType w:val="hybridMultilevel"/>
    <w:tmpl w:val="9DA65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4FD"/>
    <w:rsid w:val="001347C2"/>
    <w:rsid w:val="00136EC1"/>
    <w:rsid w:val="001A4333"/>
    <w:rsid w:val="002922D6"/>
    <w:rsid w:val="002A058A"/>
    <w:rsid w:val="002E6012"/>
    <w:rsid w:val="00323499"/>
    <w:rsid w:val="00327666"/>
    <w:rsid w:val="003466E3"/>
    <w:rsid w:val="003510EC"/>
    <w:rsid w:val="003C6CDA"/>
    <w:rsid w:val="003E1C07"/>
    <w:rsid w:val="004C6D8F"/>
    <w:rsid w:val="00523EB7"/>
    <w:rsid w:val="005539BC"/>
    <w:rsid w:val="00575300"/>
    <w:rsid w:val="00634975"/>
    <w:rsid w:val="00673FB1"/>
    <w:rsid w:val="007A6136"/>
    <w:rsid w:val="007E5229"/>
    <w:rsid w:val="007F6B67"/>
    <w:rsid w:val="008E0A44"/>
    <w:rsid w:val="008E6703"/>
    <w:rsid w:val="00947D06"/>
    <w:rsid w:val="00982D08"/>
    <w:rsid w:val="009D3AE4"/>
    <w:rsid w:val="00A203FA"/>
    <w:rsid w:val="00A75FF9"/>
    <w:rsid w:val="00BB464C"/>
    <w:rsid w:val="00BE1898"/>
    <w:rsid w:val="00CC5E2A"/>
    <w:rsid w:val="00E324FD"/>
    <w:rsid w:val="00E45996"/>
    <w:rsid w:val="00E46C15"/>
    <w:rsid w:val="00E80854"/>
    <w:rsid w:val="00EA5631"/>
    <w:rsid w:val="00EB6155"/>
    <w:rsid w:val="00FE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4F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E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3EB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53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39BC"/>
  </w:style>
  <w:style w:type="paragraph" w:styleId="Stopka">
    <w:name w:val="footer"/>
    <w:basedOn w:val="Normalny"/>
    <w:link w:val="StopkaZnak"/>
    <w:uiPriority w:val="99"/>
    <w:unhideWhenUsed/>
    <w:rsid w:val="00553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C49C7-4D59-49E9-AB92-E9822160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Księgowość Budżetowa</cp:lastModifiedBy>
  <cp:revision>9</cp:revision>
  <cp:lastPrinted>2019-04-23T11:16:00Z</cp:lastPrinted>
  <dcterms:created xsi:type="dcterms:W3CDTF">2019-04-29T07:33:00Z</dcterms:created>
  <dcterms:modified xsi:type="dcterms:W3CDTF">2019-05-08T09:48:00Z</dcterms:modified>
</cp:coreProperties>
</file>