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>Uchwała Nr XI/68/15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           Rady Gminy w Brudzeniu Dużym 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 dnia 26 listopada 2015r.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2015 – 2033.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48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1990r. o samorządzie gminnym (tekst jednolity z 2015 Dz.U. poz. 1515 z </w:t>
      </w:r>
      <w:proofErr w:type="spellStart"/>
      <w:r w:rsidRPr="00B50485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B50485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226, art. 227, art. 228, art. 229, art. 231, art. 232 ustawy z dnia 27 sierpnia 2009r. o finansach publicznych (tekst jednolity Dz. U. z 2013, poz. 885 z </w:t>
      </w:r>
      <w:proofErr w:type="spellStart"/>
      <w:r w:rsidRPr="00B50485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50485">
        <w:rPr>
          <w:rFonts w:ascii="Times New Roman" w:hAnsi="Times New Roman" w:cs="Times New Roman"/>
          <w:color w:val="000000"/>
          <w:sz w:val="24"/>
          <w:szCs w:val="24"/>
        </w:rPr>
        <w:t xml:space="preserve">. zm.) oraz uchwały Nr III/13/14 z dnia 30 grudnia 2014r. Rady Gminy w Brudzeniu Dużym na lata 2015 -2033 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Zmianie ulega załącznik Nr 1 do Uchwały Nr III/13/14 Rady Gminy w Brudzeniu Dużym z dnia 30.12.2014r. pn. "Wieloletnia Prognoza Finansowa", który otrzymuje brzmienie jak załącznik Nr 1 do niniejszej Uchwały oraz zmianie ulega załącznik Nr 2 do uchwały Nr III/13/14 Rady Gminy w Brudzeniu Dużym z dnia 30.12.2014r. pn. "Wykaz przedsięwzięć do WPF", który otrzymuje brzmienie jak załącznik Nr 2 do niniejszej Uchwały.</w:t>
      </w:r>
    </w:p>
    <w:p w:rsidR="00B50485" w:rsidRPr="00B50485" w:rsidRDefault="00B50485" w:rsidP="00B5048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Rafał Nowak</w:t>
      </w:r>
    </w:p>
    <w:p w:rsidR="00B50485" w:rsidRPr="00B50485" w:rsidRDefault="00B50485" w:rsidP="00B50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/>
    <w:p w:rsidR="00B50485" w:rsidRDefault="00B50485"/>
    <w:p w:rsidR="00B50485" w:rsidRDefault="00B50485"/>
    <w:p w:rsidR="00B50485" w:rsidRDefault="00B50485"/>
    <w:p w:rsidR="00B50485" w:rsidRDefault="00B50485"/>
    <w:p w:rsidR="00B50485" w:rsidRDefault="00B50485"/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W Wieloletniej Prognozie Finansowej urealniono załącznik Nr 1 do Uchwały Nr III/13/14 Rady Gminy w Brudzeniu Dużym z dnia 30 grudnia 2014r. pn. "Wieloletnia Prognoza Finansowa" oraz załącznik Nr 2 do uchwały Nr </w:t>
      </w:r>
      <w:r w:rsidRPr="00B50485">
        <w:rPr>
          <w:rFonts w:ascii="Times New Roman" w:hAnsi="Times New Roman" w:cs="Times New Roman"/>
          <w:sz w:val="24"/>
          <w:szCs w:val="24"/>
        </w:rPr>
        <w:tab/>
        <w:t>III/13/14 Rady Gminy w Brudzeniu Dużym z dnia 30 grudnia 2014r. pn. "Wykaz przedsięwzięć do WPF".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2015 Nr III/14/14 Rady Gminy Brudzeń Duży z dnia 30 grudnia 2014r. 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485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Dochody ogółem w 2015 roku kształtują się na poziomie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22 578 278,16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Zmianie uległy dochody bieżące kolumna 1.1. w tym z tytułu udziału we wpływach z podatku dochodowego od osób fizycznych, z podatków i opłat oraz z tytułu dotacji i środków przeznaczonych na cele bieżące kolumna 1.1.5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Uchwałą Rady Gminy w Brudzeniu wprowadza się następujące zmiany: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2 111,00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tytułu wpływu czynszu dzierżawnego z Kół Łowieckich przekazane przez Starostwo Powiatowe w Płocku,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związku z udzieleniem pomocy finansowej na dofinansowanie wydatków bieżących dla OSP Turza Mała przez Powiat Płocki,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24 000,00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związku z wpływem ponad planowanych dochodów z tytułu podatku od spadków i darowizn kwota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4 000,00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oraz podatku od czynności cywilnoprawnych kwota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od osób fizycznych,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17 400,00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związku z wpływem ponad planowanych dochodów z tytułu opłaty planistycznej i </w:t>
      </w:r>
      <w:proofErr w:type="spellStart"/>
      <w:r w:rsidRPr="00B50485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B50485">
        <w:rPr>
          <w:rFonts w:ascii="Times New Roman" w:hAnsi="Times New Roman" w:cs="Times New Roman"/>
          <w:sz w:val="24"/>
          <w:szCs w:val="24"/>
        </w:rPr>
        <w:t xml:space="preserve">,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286 151,00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tytułu udziału w podatku dochodowym od osób fizycznych. Z informacji przesłanej przez Ministerstwo Finansów wynika, iż planuje się wpływy z tego  tytułu w wyższej kwocie niż zaplanowano w budżecie gminy. W związku z tym zwiększono plan dochodów w w/w kwocie ( pismo MF Nr ST3.4750.5.2015 z dnia 06.02.2015r.),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3 400,00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związku z wpływem ponad planowanych dochodów z tytułu ściągniętych alimentów od dłużników, zwiększa się plan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1 600,00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tytułu wpływu ponad planowanych dochodów za usługi opiekuńcze.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lastRenderedPageBreak/>
        <w:tab/>
        <w:t>Zmiany wprowadzone w planie dochodów w 2015r. zarządzeniami Wójta Gminy Brudzeń Duży dotyczą: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5 640,00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tytułu zwiększenia dotacji celowej na wyposażenie szkół podstawowych w książki do bibliotek szkolnych na podstawie pisma MUW w Warszawie Nr FCR-I.3111.15.73.2015 z dnia 30.09.2015r., 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184 004,00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realizację świadczeń rodzinnych, świadczeń z funduszu alimentacyjnego oraz składek na ubezpieczenia społeczne zgodnie z pismem MUW w Warszawie Nr FCR-I.3111.17.128.2015 z dnia 24.09.2015r.,  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636,00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opłacenie składek na ubezpieczenie zdrowotne od zasiłków stałych zgodnie z pismem MUW w Warszawie Nr FCR-I.3111.17.112.2015 z dnia 05.10.2015r., 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25 120,00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wypłatę zasiłków stałych zgodnie z pismem MUW w Warszawie Nr FCR-I.3111.17.111.2015 z dnia 01.10.2015r., 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217 429,44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wypłatę podatku akcyzowego zawartego w cenie oleju napędowego wykorzystywanego do produkcji rolnej zgodnie z pismem z MUW w Warszawie Nr FCR-I.3111.1.90.2015 z dnia 12.10.2015r.</w:t>
      </w:r>
      <w:r w:rsidRPr="00B50485">
        <w:rPr>
          <w:rFonts w:ascii="Calibri" w:hAnsi="Calibri" w:cs="Calibri"/>
          <w:sz w:val="24"/>
          <w:szCs w:val="24"/>
        </w:rPr>
        <w:t>,</w:t>
      </w:r>
      <w:r w:rsidRPr="00B5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12 060,00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przeznaczeniem na zadania związane z przygotowaniem i przeprowadzeniem wyborów do Sejmu i Senatu RP zarządzonych na dzień 25  października 2015r. zgodnie z pismem KBW w Płocku Nr DPŁ.3101-23 i 24/15 z dnia 16.10.2015r., </w:t>
      </w:r>
    </w:p>
    <w:p w:rsidR="00B50485" w:rsidRPr="00B50485" w:rsidRDefault="00B50485" w:rsidP="00B50485">
      <w:pPr>
        <w:tabs>
          <w:tab w:val="left" w:pos="13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11 847,00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wypłatę zasiłków okresowych oraz w kwocie 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15 641,00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wypłatę zasiłków stałych zgodnie z pismem MUW w Warszawie Nr FCR-I.3111.17.110.2015 z dnia 15.10.2015r.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10 949,00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dofinansowanie dodatków dla pracowników socjalnych realizujących prace socjalną w środowisku zgodnie z pismem MUW w Warszawie Nr FCR-I.3111.17.137.2015  z dnia 16.10.2015r.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73 111,00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tytułu zwiększenia dotacji celowej na pomoc materialną dla uczniów o charakterze socjalnym na podstawie pisma MUW w Warszawie FCR-I.3111.19.35.2015 z dnia 15.10.2015r.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-zwiększenia planu dochodów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8 784,00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związku ze zwiększeniem dotacji z przeznaczeniem na realizację zadań wynikających z ustawy Prawo o aktach stanu cywilnego, ustawy o ewidencji ludności oraz ustawy o dowodach osobistych na podstawie pisma z MUW w Warszawie Nr FCR-I-3111.9.78.2015 z dnia 20.10.2015r.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lastRenderedPageBreak/>
        <w:t xml:space="preserve">- zwiększenia planu dochodów bieżących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1 500,00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realizację programu „Pomoc państwa w zakresie dożywiania” zgodnie z  pismem z MUW w Warszawie Nr FCR-I.3111.17.162.2015 z dnia 03.11.2015r.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tabs>
          <w:tab w:val="left" w:pos="14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Dochody majątkowe zmniejszono do kwoty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600 145,00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. Zmiany dotyczą dochodów majątkowych ze sprzedaży majątku (kolumna 1.2.1), kwota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5 514,00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jest to wpływ odszkodowania od Operatora Gazociągów Przesyłowych Rembelszczyzna za szkody powstałe wskutek ograniczenia sposobu korzystania z nieruchomości oraz dochodów majątkowych z tytułu dotacji oraz środków przeznaczonych na inwestycję (kolumna 1.2.2) zmniejsza się plan dochodów majątkowych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154 176,00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. Środki unijne na realizację zadania majątkowego pn. ,,Poprawa wyposażenia Gminy Brudzeń Duży w infrastrukturę wodociągową i kanalizacyjną „ wpłynęły w wysokości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99 264,00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zgodnie z umową o dofinansowanie. Kwota środków kwalifikowanych zmniejszyła się do poziomu wartości kosztorysowej </w:t>
      </w:r>
      <w:proofErr w:type="spellStart"/>
      <w:r w:rsidRPr="00B50485">
        <w:rPr>
          <w:rFonts w:ascii="Times New Roman" w:hAnsi="Times New Roman" w:cs="Times New Roman"/>
          <w:sz w:val="24"/>
          <w:szCs w:val="24"/>
        </w:rPr>
        <w:t>poprzetargowej</w:t>
      </w:r>
      <w:proofErr w:type="spellEnd"/>
      <w:r w:rsidRPr="00B50485">
        <w:rPr>
          <w:rFonts w:ascii="Times New Roman" w:hAnsi="Times New Roman" w:cs="Times New Roman"/>
          <w:sz w:val="24"/>
          <w:szCs w:val="24"/>
        </w:rPr>
        <w:t xml:space="preserve">, środki zabezpieczone w planie dochodów Uchwałą Budżetową na 2015 rok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253 440,00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określono na podstawie kosztorysu inwestorskiego w związku z powyższym zmniejszono plan dochodów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154 176,00.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Zwiększono wydatki ogółem do kwoty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22 363 278,16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ab/>
        <w:t>Zwiększenie wprowadzone uchwałą dotyczy</w:t>
      </w:r>
      <w:r w:rsidRPr="00B50485">
        <w:rPr>
          <w:rFonts w:ascii="Calibri" w:hAnsi="Calibri" w:cs="Calibri"/>
        </w:rPr>
        <w:t xml:space="preserve"> </w:t>
      </w:r>
      <w:r w:rsidRPr="00B50485">
        <w:rPr>
          <w:rFonts w:ascii="Times New Roman" w:hAnsi="Times New Roman" w:cs="Times New Roman"/>
          <w:sz w:val="24"/>
          <w:szCs w:val="24"/>
        </w:rPr>
        <w:t xml:space="preserve">zwiększenia planu wydatków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3 800,00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na zakup materiałów i wyposażenia środki przenosi się z  zakupów majątkowych w administracji samorządowej, zwiększa się plan wydatków bieżących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3 000,00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przeznacza się na zakup materiałów i wyposażenia w strażach. Kwota ta została niewykorzystana na zadaniu majątkowym pn. ,,Zakup samochodu dla OSP w Sikorzu”.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1 000,00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przeznacza się wydatki bieżące dla OSP Turza Mała w wyniku udzielenia pomocy finansowej przez Powiat Płocki. Zwiększa się plan  wydatków bieżących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87 363,00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przeznaczeniem  na zwiększenie planu wynagrodzeń osobowych w szkołach podstawowych, zwiększa się plan wydatków  bieżących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16 000,00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15 900,00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zwiększa się plan wydatków na wynagrodzenia wraz z pochodnymi  oraz o kwotę 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 na dodatki socjalne dla nauczycieli w oddziałach przedszkolnych, zwiększa się plan wydatków bieżących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74 869,00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o kwotę 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49 950,00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wynagrodzenia wraz z pochodnymi ,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7 360,00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dodatki socjalne dla nauczycieli oraz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17 559,00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wydatki rzeczowe w przedszkolach, zwiększa się plan wydatków bieżących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138 267,60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8 118,60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dotację dla Niepublicznego Gimnazjum Katolickiego w Sikorzu z przeznaczeniem na zakup </w:t>
      </w:r>
      <w:r w:rsidRPr="00B50485">
        <w:rPr>
          <w:rFonts w:ascii="Times New Roman" w:hAnsi="Times New Roman" w:cs="Times New Roman"/>
          <w:sz w:val="24"/>
          <w:szCs w:val="24"/>
        </w:rPr>
        <w:lastRenderedPageBreak/>
        <w:t xml:space="preserve">podręczników i materiałów ćwiczeniowych z dotacji celowej,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6 640,00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dodatki socjalne dla nauczycieli oraz 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123 509,00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wynagrodzenia wraz z pochodnymi dla nauczycieli w gimnazjach, zwiększa się plan wydatków bieżących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10 150,00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przeznaczeniem na wynagrodzenia wraz z pochodnymi dla pracowników stołówki.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ab/>
        <w:t xml:space="preserve">Bieżącą uchwałą zmniejszono wydatki bieżące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140 649,60 </w:t>
      </w:r>
      <w:r w:rsidRPr="00B50485">
        <w:rPr>
          <w:rFonts w:ascii="Times New Roman" w:hAnsi="Times New Roman" w:cs="Times New Roman"/>
          <w:sz w:val="24"/>
          <w:szCs w:val="24"/>
        </w:rPr>
        <w:t>w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485">
        <w:rPr>
          <w:rFonts w:ascii="Times New Roman" w:hAnsi="Times New Roman" w:cs="Times New Roman"/>
          <w:sz w:val="24"/>
          <w:szCs w:val="24"/>
        </w:rPr>
        <w:t xml:space="preserve">związku ze zmianą planu wydatków bieżących  w rozdziale szkoły podstawowe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73 096,00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o kwotę 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1 300,00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zmniejsza się plan wydatków  na dodatkach socjalnych dla nauczycieli, o kwotę 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11 390,00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zmniejsza się plan wydatków na wynagrodzeniach bezosobowych,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2 400,00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zmniejsza się plan wydatków na składkach funduszu pracy  oraz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58 006,00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zmniejsza się plan wydatków rzeczowych. Środki przeznacza się na zwiększenie planu wydatków na wynagrodzenia osobowe, zmniejsza się plan wydatków bieżących w rozdziale gimnazja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35 649,60 </w:t>
      </w:r>
      <w:r w:rsidRPr="00B50485">
        <w:rPr>
          <w:rFonts w:ascii="Times New Roman" w:hAnsi="Times New Roman" w:cs="Times New Roman"/>
          <w:sz w:val="24"/>
          <w:szCs w:val="24"/>
        </w:rPr>
        <w:t xml:space="preserve">z tego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120,00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wynagrodzeniach bezosobowych oraz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35 529,60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wydatkach rzeczowych. Środki przeznacza się  na zwiększenie planu wydatków na wynagrodzenia wraz z pochodnymi, zmniejsza się plan wydatków bieżących  w rozdziale dowożenie dzieci do szkół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3 922,00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. Środki przeznacza się  na zwiększenie planu na wynagrodzenia osobowe, zmniejsza się plan wydatków bieżących w rozdziale komisje egzaminacyjne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1 600,00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1 500,00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wynagrodzeniach bezosobowych i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zakupie materiałów, ponieważ żaden z nauczycieli nie przystąpi do egzaminu na stopień nauczyciela mianowanego, zmniejsza się plan wydatków bieżących w rozdziale dokształcanie i doskonalenie zawodowe nauczycieli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10 368,00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grupie wydatków rzeczowych  i przeznacza się na  zwiększenie planu wynagrodzeń osobowych, zmniejsza się plan wydatków bieżących w rozdziale stołówki szkolne i przedszkolne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3 650,00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grupie wydatków rzeczowych i przeznacza się na zwiększenie planu wynagrodzeń osobowych, zmniejsza się plan wydatków bieżących w rozdziale świetlice  szkolne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12 364,00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 tego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660,00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zmniejsza się plan wydatków  na dodatkach socjalnych dla nauczycieli, 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10 074,00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 zmniejsza się plan na wynagrodzeniach oraz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1 630,00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wydatkach rzeczowych i przeznacza się na zwiększenie  planu wynagrodzeń osobowych.</w:t>
      </w:r>
    </w:p>
    <w:p w:rsidR="00B50485" w:rsidRPr="00B50485" w:rsidRDefault="00B50485" w:rsidP="00B50485">
      <w:pPr>
        <w:tabs>
          <w:tab w:val="left" w:pos="12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0485">
        <w:rPr>
          <w:rFonts w:ascii="Times New Roman" w:hAnsi="Times New Roman" w:cs="Times New Roman"/>
          <w:sz w:val="24"/>
          <w:szCs w:val="24"/>
        </w:rPr>
        <w:t xml:space="preserve">Zarządzeniami wpływającymi na budżet w roku 2015 zwiększono wydatki bieżące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610 447,83</w:t>
      </w:r>
      <w:r w:rsidRPr="00B50485">
        <w:rPr>
          <w:rFonts w:ascii="Times New Roman" w:hAnsi="Times New Roman" w:cs="Times New Roman"/>
          <w:sz w:val="24"/>
          <w:szCs w:val="24"/>
        </w:rPr>
        <w:t xml:space="preserve">.  Zwiększenia dotyczą wydatków na zakup książek do bibliotek szkolnych dla szkół podstawowych, wydatków na składki społeczne, wydatków na wypłatę świadczeń rodzinnych i świadczeń z funduszu alimentacyjnego, wydatków na wynagrodzenia osobowe wraz z pochodnymi oraz na usługi pozostałe, wydatków na opłacenie składki zdrowotnej za osoby pobierające zasiłki stałe, wydatków na zasiłki stałe, wydatków na </w:t>
      </w:r>
      <w:r w:rsidRPr="00B50485">
        <w:rPr>
          <w:rFonts w:ascii="Times New Roman" w:hAnsi="Times New Roman" w:cs="Times New Roman"/>
          <w:sz w:val="24"/>
          <w:szCs w:val="24"/>
        </w:rPr>
        <w:lastRenderedPageBreak/>
        <w:t>wypłatę podatku akcyzowego zawartego w cenie oleju napędowego wykorzystywanego do produkcji rolnej, wydatków na zadania związane z przygotowaniem i przeprowadzeniem wyborów do Sejmu i Senatu RP zarządzonych na dzień 25  października 2015r. (wypłata diet dla członków OKW), wydatków na zakupy rzeczowe, na wypłatę zasiłków okresowych, na dofinansowanie dodatków dla pracowników socjalnych zgodnie z przyznaną dotacją, zwiększenie wydatków na pomoc materialną dla uczniów o charakterze socjalnym, na realizację zadań zleconych (wynagrodzenia osobowe) w związku ze zwiększeniem dotacji na ten cel. Zwiększono wydatki na wynagrodzeniach bezosobowych w ramach środków przeznaczonych na zadania związane z przygotowaniem i przeprowadzeniem wyborów do Sejmu i Senatu RP zarządzonych na dzień 25  października 2015r. Środki przenosi się z zakupu materiałów i wyposażenia, na różne wydatki na rzecz osób fizycznych, na przewóz żywności dla najuboższych rodzin z terenu gminy oraz na realizacje programu „Pomoc państwa w zakresie dożywiania”.</w:t>
      </w:r>
    </w:p>
    <w:p w:rsidR="00B50485" w:rsidRPr="00B50485" w:rsidRDefault="00B50485" w:rsidP="00B50485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 </w:t>
      </w:r>
      <w:r w:rsidRPr="00B50485">
        <w:rPr>
          <w:rFonts w:ascii="Times New Roman" w:hAnsi="Times New Roman" w:cs="Times New Roman"/>
          <w:sz w:val="24"/>
          <w:szCs w:val="24"/>
        </w:rPr>
        <w:tab/>
        <w:t xml:space="preserve">Zarządzeniami wpływającymi na budżet w roku 2015 zmniejszono wydatki bieżące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43 726,39.</w:t>
      </w:r>
      <w:r w:rsidRPr="00B504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485" w:rsidRPr="00B50485" w:rsidRDefault="00B50485" w:rsidP="00B50485">
      <w:pPr>
        <w:tabs>
          <w:tab w:val="left" w:pos="13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Zmiany dotyczą zmniejszenia planu wydatków na fundusz pracy, na wynagrodzenia osobowe wraz z pochodnymi, na zakupy rzeczowe, na zakup materiałów i wyposażenia w ramach środków przeznaczonych na zadania związane z przygotowaniem i przeprowadzeniem wyborów do Sejmu i Senatu RP zarządzonych na dzień 25  października 2015r</w:t>
      </w:r>
      <w:r w:rsidRPr="00B50485">
        <w:rPr>
          <w:rFonts w:ascii="Calibri" w:hAnsi="Calibri" w:cs="Calibri"/>
          <w:sz w:val="24"/>
          <w:szCs w:val="24"/>
        </w:rPr>
        <w:t>.,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zakupie usług remontowych, na opłaty za placówki opiekuńczo – wychowawcze, na wypłatę dodatków mieszkaniowych.</w:t>
      </w:r>
    </w:p>
    <w:p w:rsidR="00B50485" w:rsidRPr="00B50485" w:rsidRDefault="00B50485" w:rsidP="00B50485">
      <w:pPr>
        <w:tabs>
          <w:tab w:val="left" w:pos="1417"/>
          <w:tab w:val="left" w:pos="19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ab/>
        <w:t xml:space="preserve">Wydatki majątkowe kolumna 2.2 zmniejszono o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5 800,00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1 227 878,00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w związku z przeniesieniem kwoty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3 800,00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wydatki bieżące w administracji z zadania pn. „Zakup sprzętu komputerowego”, natomiast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2 000,00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przenosi się na wydatki bieżące w strażach z zadania pn. „Zakup samochodu dla OSP w Sikorzu”.</w:t>
      </w:r>
    </w:p>
    <w:p w:rsidR="00B50485" w:rsidRPr="00B50485" w:rsidRDefault="00B50485" w:rsidP="00B50485">
      <w:pPr>
        <w:tabs>
          <w:tab w:val="left" w:pos="720"/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ab/>
        <w:t>Wydatki bieżące na wynagrodzenia i składki od nich naliczane kolumna 11.1 zwiększono do kwoty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 10 280 122,77. 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Nowe wydatki inwestycyjne w 2015 roku kolumna 11.5 uległy zmniejszeniu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5 800,00 </w:t>
      </w:r>
      <w:r w:rsidRPr="00B50485">
        <w:rPr>
          <w:rFonts w:ascii="Times New Roman" w:hAnsi="Times New Roman" w:cs="Times New Roman"/>
          <w:sz w:val="24"/>
          <w:szCs w:val="24"/>
        </w:rPr>
        <w:t xml:space="preserve">w związku ze zmniejszeniem się plan wydatków majątkowych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3 800,00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zadaniu pn. „Zakup sprzętu komputerowego” środki te przenosi się na wydatki bieżące w administracji oraz zmniejszeniem się plan wydatków majątkowych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2 000,00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 zadaniu pn. ,,Zakup samochodu dla OSP w Sikorzu” środki przenosi się na wydatki bieżące w Strażach.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Dochody majątkowe na programy, projekty lub zadania finansowane z udziałem środków o których mowa w art. 5 ust. 1 pkt 2 i 3 ustawy zmniejsza się plan w kwocie 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>154 176,00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. Środki unijne na realizację zadania majątkowego pn. ,,Poprawa wyposażenia Gminy Brudzeń Duży w infrastrukturę wodociągową i kanalizacyjną „ wpłynęły w wysokości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99 264,00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zgodnie z umową o dofinansowanie. Kwota środków kwalifikowanych zmniejszyła się do poziomu wartości kosztorysowej </w:t>
      </w:r>
      <w:proofErr w:type="spellStart"/>
      <w:r w:rsidRPr="00B50485">
        <w:rPr>
          <w:rFonts w:ascii="Times New Roman" w:hAnsi="Times New Roman" w:cs="Times New Roman"/>
          <w:sz w:val="24"/>
          <w:szCs w:val="24"/>
        </w:rPr>
        <w:t>poprzetargowej</w:t>
      </w:r>
      <w:proofErr w:type="spellEnd"/>
      <w:r w:rsidRPr="00B50485">
        <w:rPr>
          <w:rFonts w:ascii="Times New Roman" w:hAnsi="Times New Roman" w:cs="Times New Roman"/>
          <w:sz w:val="24"/>
          <w:szCs w:val="24"/>
        </w:rPr>
        <w:t xml:space="preserve">, środki zabezpieczone w planie dochodów Uchwałą Budżetową na 2015 rok w kwocie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253 440,00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 określono na podstawie kosztorysu inwestorskiego w związku z powyższym zmniejszono plan dochodów o kwotę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154 176,00. </w:t>
      </w:r>
      <w:r w:rsidRPr="00B50485">
        <w:rPr>
          <w:rFonts w:ascii="Times New Roman" w:hAnsi="Times New Roman" w:cs="Times New Roman"/>
          <w:sz w:val="24"/>
          <w:szCs w:val="24"/>
        </w:rPr>
        <w:t>O tę sama kwotę zmniejszono dochody w kolumnie 12.2.1 oraz 12.2.1.1.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0485">
        <w:rPr>
          <w:rFonts w:ascii="Times New Roman" w:hAnsi="Times New Roman" w:cs="Times New Roman"/>
          <w:sz w:val="24"/>
          <w:szCs w:val="24"/>
        </w:rPr>
        <w:t>Zgodnie z zarządzeniem Nr 62/15 Wójta Gminy Brudzeń Duży z dnia 13 listopada 2015r. w sprawie projektu uchwały budżetowej oraz zarządzeniem Nr 61/15 Wójta Gminy Brudzeń Duży z dnia 13 listopada 2015r. w sprawie projektu uchwały wieloletniej prognozy finansowej wprowadzono do niniejszej uchwały plan dochodów i wydatków na 2016 rok oraz wszelkie zmiany w latach 2017 -2033 obowiązywania WPF.  Objaśnienia dla zmian w 2015 roku oraz lat kolejnych zostały przedłożone wraz z Zarządzeniem Regionalnej Izbie Obrachunkowej w Warszawie, a także Radzie Gminy w Brudzeniu Dużym.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W załączniku Nr 2 dotyczącego przedsięwzięć dokonano zmian w limicie zobowiązań w 2016 i 2017 roku w przedsięwzięciach: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„Obsługa, bieżące utrzymanie, eksploatacja gminnej sieci wodociągowej” 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-„Obsługa, bieżące utrzymanie, eksploatacja i konserwacja systemu kanalizacji sanitarnej na oczyszczalni ścieków w Bądkowie Kościelnym i Siecieniu”.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 Zmian dokonano w związku z tym, iż gmina nie będzie dokonywała dopłat na ten cel. Realizacja zadań zakończy się w roku 2015 i nie będzie dalej kontynuowana jak to zaplanowano pierwotnie.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Realizację przedsięwzięcie pn. „Budowa dróg osiedlowych w Brudzeniu Dużym” przedłużono o rok 2016 i 2017. Limit w 2016 roku wynosi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420 000,00,</w:t>
      </w:r>
      <w:r w:rsidRPr="00B50485">
        <w:rPr>
          <w:rFonts w:ascii="Times New Roman" w:hAnsi="Times New Roman" w:cs="Times New Roman"/>
          <w:sz w:val="24"/>
          <w:szCs w:val="24"/>
        </w:rPr>
        <w:t xml:space="preserve"> natomiast w 2017 -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1 000 000,00</w:t>
      </w:r>
      <w:r w:rsidRPr="00B50485">
        <w:rPr>
          <w:rFonts w:ascii="Times New Roman" w:hAnsi="Times New Roman" w:cs="Times New Roman"/>
          <w:sz w:val="24"/>
          <w:szCs w:val="24"/>
        </w:rPr>
        <w:t>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Łączne nakłady finansowe na zadaniu inwestycyjnym to kwota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2 199 820,00.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Zadanie stanowi kontynuację  rozpoczętej w poprzednich latach budowy dróg na terenie miejscowości Brudzeń Duży. W 2016r. planowana jest budowa ulicy Krasickiego i Maya. W ramach inwestycji zostanie wykonana kanalizacja deszczowa w sposób pozwalający przyszłościowo odwodnić cały teren osiedla. Ulica Krasickiego zostanie utwardzona w masie </w:t>
      </w:r>
      <w:r w:rsidRPr="00B50485">
        <w:rPr>
          <w:rFonts w:ascii="Times New Roman" w:hAnsi="Times New Roman" w:cs="Times New Roman"/>
          <w:sz w:val="24"/>
          <w:szCs w:val="24"/>
        </w:rPr>
        <w:lastRenderedPageBreak/>
        <w:t xml:space="preserve">bitumicznej, natomiast ulica Maya w kostce betonowej. Roboty będą kontynuowane w roku 2017. 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ab/>
        <w:t>Wprowadzono dwa nowe przedsięwzięcia dwuletnie jako  wydatki na programy, projekty lub zadania pozostałe: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- „Budowa dróg osiedlowych w Siecieniu” – Przedsięwzięcie będzie realizowane w latach 2017 – 2018. Łączne nakłady finansowe na zadanie to kwota w wysokości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1 300 000,00.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Do przebudowy została przewidziana droga gminna Nr 290335W relacji Uniejewo – Siecień na odcinku 700 m od Siecienia w stronę Uniejewa. Do przedmiotowej drogi zostanie wykonany łącznik prowadzący wzdłuż Ośrodka Zdrowia w kierunku Zespołu Szkół w Siecieniu. Droga nr 290335W zostanie umocniona w masie bitumicznej, natomiast łącznik zostanie wykonany jako pasaż </w:t>
      </w:r>
      <w:proofErr w:type="spellStart"/>
      <w:r w:rsidRPr="00B50485">
        <w:rPr>
          <w:rFonts w:ascii="Times New Roman" w:hAnsi="Times New Roman" w:cs="Times New Roman"/>
          <w:sz w:val="24"/>
          <w:szCs w:val="24"/>
        </w:rPr>
        <w:t>pieszojezdny</w:t>
      </w:r>
      <w:proofErr w:type="spellEnd"/>
      <w:r w:rsidRPr="00B50485">
        <w:rPr>
          <w:rFonts w:ascii="Times New Roman" w:hAnsi="Times New Roman" w:cs="Times New Roman"/>
          <w:sz w:val="24"/>
          <w:szCs w:val="24"/>
        </w:rPr>
        <w:t xml:space="preserve"> w kostce betonowej. Prace rozpoczną się w roku 2017, kontynuowane będą do 2018 r. Planowany limit do  zaciągnięcia zobowiązań wynosi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1 300 000,00.</w:t>
      </w:r>
      <w:r w:rsidRPr="00B504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- „Wykonanie projektu kanalizacji sanitarnej w miejscowości Sikórz i Brudzeń Duży”.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Przedsięwzięcie wieloletnie realizowane w latach 2016-2017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0485">
        <w:rPr>
          <w:rFonts w:ascii="Times New Roman" w:hAnsi="Times New Roman" w:cs="Times New Roman"/>
          <w:sz w:val="24"/>
          <w:szCs w:val="24"/>
        </w:rPr>
        <w:t xml:space="preserve">Łączne nakłady finansowe na to przedsięwzięcie wynoszą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230 000,00.</w:t>
      </w:r>
      <w:r w:rsidRPr="00B50485">
        <w:rPr>
          <w:rFonts w:ascii="Times New Roman" w:hAnsi="Times New Roman" w:cs="Times New Roman"/>
          <w:sz w:val="24"/>
          <w:szCs w:val="24"/>
        </w:rPr>
        <w:t xml:space="preserve"> W ramach przedsięwzięcia planowane jest wykonanie projektu skanalizowania miejscowości Sikórz oraz odprowadzenia ścieków kolektorem zbiorczym w stronę Gminy Stara Biała do oczyszczalni w mieście Płock.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>W miejscowości Brudzeń Duży w ramach przedsięwzięcia zostanie zaprojektowana sieć kanalizacji bytowej do budynku wielorodzinnego znajdującego się przy ulicy Płockiej.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Zadanie jest dwuletnie, limit w 2016 –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80 000,00</w:t>
      </w:r>
      <w:r w:rsidRPr="00B50485">
        <w:rPr>
          <w:rFonts w:ascii="Times New Roman" w:hAnsi="Times New Roman" w:cs="Times New Roman"/>
          <w:sz w:val="24"/>
          <w:szCs w:val="24"/>
        </w:rPr>
        <w:t xml:space="preserve">, limit w 2017 –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150 000,00.</w:t>
      </w:r>
    </w:p>
    <w:p w:rsidR="00B50485" w:rsidRPr="00B50485" w:rsidRDefault="00B50485" w:rsidP="00B50485">
      <w:pPr>
        <w:tabs>
          <w:tab w:val="left" w:pos="14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Planowany limit zobowiązań to kwota </w:t>
      </w:r>
      <w:r w:rsidRPr="00B50485">
        <w:rPr>
          <w:rFonts w:ascii="Times New Roman" w:hAnsi="Times New Roman" w:cs="Times New Roman"/>
          <w:b/>
          <w:bCs/>
          <w:sz w:val="24"/>
          <w:szCs w:val="24"/>
        </w:rPr>
        <w:t>230 000,00.</w:t>
      </w: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485" w:rsidRPr="00B50485" w:rsidRDefault="00B50485" w:rsidP="00B50485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85" w:rsidRPr="00B50485" w:rsidRDefault="00B50485" w:rsidP="00B5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85" w:rsidRPr="00B50485" w:rsidRDefault="00B50485" w:rsidP="00B5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0485" w:rsidRPr="00B50485" w:rsidRDefault="00B50485" w:rsidP="00B50485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0485" w:rsidRPr="00B50485" w:rsidRDefault="00B50485" w:rsidP="00B5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0485" w:rsidRDefault="00B50485"/>
    <w:p w:rsidR="00B50485" w:rsidRDefault="00B50485"/>
    <w:sectPr w:rsidR="00B50485" w:rsidSect="0073265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5"/>
    <w:rsid w:val="00001B51"/>
    <w:rsid w:val="00001E08"/>
    <w:rsid w:val="00003CD3"/>
    <w:rsid w:val="00004C63"/>
    <w:rsid w:val="00006B5E"/>
    <w:rsid w:val="00007943"/>
    <w:rsid w:val="000107DD"/>
    <w:rsid w:val="00013D91"/>
    <w:rsid w:val="00015591"/>
    <w:rsid w:val="00016C0C"/>
    <w:rsid w:val="00016F47"/>
    <w:rsid w:val="00021484"/>
    <w:rsid w:val="00024799"/>
    <w:rsid w:val="00027A2B"/>
    <w:rsid w:val="000300EF"/>
    <w:rsid w:val="00055427"/>
    <w:rsid w:val="0005699B"/>
    <w:rsid w:val="000637AC"/>
    <w:rsid w:val="00064524"/>
    <w:rsid w:val="00064CCE"/>
    <w:rsid w:val="000737E7"/>
    <w:rsid w:val="00085A64"/>
    <w:rsid w:val="000902D5"/>
    <w:rsid w:val="00096A33"/>
    <w:rsid w:val="00097E24"/>
    <w:rsid w:val="000A0F5C"/>
    <w:rsid w:val="000A3932"/>
    <w:rsid w:val="000A3F20"/>
    <w:rsid w:val="000C06C8"/>
    <w:rsid w:val="000C4968"/>
    <w:rsid w:val="000C5E4E"/>
    <w:rsid w:val="000D10F3"/>
    <w:rsid w:val="000D423E"/>
    <w:rsid w:val="000E5D70"/>
    <w:rsid w:val="000F1A41"/>
    <w:rsid w:val="000F4BB1"/>
    <w:rsid w:val="000F7A4F"/>
    <w:rsid w:val="00100130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2CE5"/>
    <w:rsid w:val="00153A38"/>
    <w:rsid w:val="001627E1"/>
    <w:rsid w:val="00163D22"/>
    <w:rsid w:val="0016418D"/>
    <w:rsid w:val="001805E2"/>
    <w:rsid w:val="00181F23"/>
    <w:rsid w:val="00182C0E"/>
    <w:rsid w:val="0018344C"/>
    <w:rsid w:val="00184466"/>
    <w:rsid w:val="0018798D"/>
    <w:rsid w:val="00191ED2"/>
    <w:rsid w:val="00194AB3"/>
    <w:rsid w:val="0019520C"/>
    <w:rsid w:val="001A1CE9"/>
    <w:rsid w:val="001A2FA4"/>
    <w:rsid w:val="001A5CCD"/>
    <w:rsid w:val="001A6621"/>
    <w:rsid w:val="001C3182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6B95"/>
    <w:rsid w:val="00235A85"/>
    <w:rsid w:val="00244FFB"/>
    <w:rsid w:val="0025008B"/>
    <w:rsid w:val="0025018F"/>
    <w:rsid w:val="00252EBE"/>
    <w:rsid w:val="0025309E"/>
    <w:rsid w:val="002579F6"/>
    <w:rsid w:val="0027459D"/>
    <w:rsid w:val="00275B0A"/>
    <w:rsid w:val="00275DA2"/>
    <w:rsid w:val="00276085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13FE"/>
    <w:rsid w:val="002F1938"/>
    <w:rsid w:val="002F5242"/>
    <w:rsid w:val="002F66E6"/>
    <w:rsid w:val="00300907"/>
    <w:rsid w:val="00304BC8"/>
    <w:rsid w:val="00307B2D"/>
    <w:rsid w:val="003134DE"/>
    <w:rsid w:val="00317618"/>
    <w:rsid w:val="00321D04"/>
    <w:rsid w:val="003232FD"/>
    <w:rsid w:val="003301FB"/>
    <w:rsid w:val="003310F9"/>
    <w:rsid w:val="0033559E"/>
    <w:rsid w:val="00336414"/>
    <w:rsid w:val="003436EB"/>
    <w:rsid w:val="00351582"/>
    <w:rsid w:val="003602A9"/>
    <w:rsid w:val="003613F5"/>
    <w:rsid w:val="00366719"/>
    <w:rsid w:val="00366C5F"/>
    <w:rsid w:val="00367676"/>
    <w:rsid w:val="00371830"/>
    <w:rsid w:val="00381B7B"/>
    <w:rsid w:val="00386A55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7722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2403E"/>
    <w:rsid w:val="004243FA"/>
    <w:rsid w:val="004327BE"/>
    <w:rsid w:val="00435EA7"/>
    <w:rsid w:val="004431B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7EAA"/>
    <w:rsid w:val="004E0223"/>
    <w:rsid w:val="004E24F4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7BB7"/>
    <w:rsid w:val="00575862"/>
    <w:rsid w:val="00580D14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3360"/>
    <w:rsid w:val="006C586E"/>
    <w:rsid w:val="006D3807"/>
    <w:rsid w:val="006D3D5E"/>
    <w:rsid w:val="006E623F"/>
    <w:rsid w:val="006F2BA2"/>
    <w:rsid w:val="006F3CAC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44E7"/>
    <w:rsid w:val="00777021"/>
    <w:rsid w:val="00781F77"/>
    <w:rsid w:val="007823F9"/>
    <w:rsid w:val="00787866"/>
    <w:rsid w:val="007960E8"/>
    <w:rsid w:val="00796E99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82E81"/>
    <w:rsid w:val="0088308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60B9"/>
    <w:rsid w:val="0095229B"/>
    <w:rsid w:val="009525E0"/>
    <w:rsid w:val="00955470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3012B"/>
    <w:rsid w:val="00A3294A"/>
    <w:rsid w:val="00A32E42"/>
    <w:rsid w:val="00A34681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B747C"/>
    <w:rsid w:val="00AC1CD9"/>
    <w:rsid w:val="00AC2CC6"/>
    <w:rsid w:val="00AC5813"/>
    <w:rsid w:val="00AD0521"/>
    <w:rsid w:val="00AD3ECC"/>
    <w:rsid w:val="00AD4DB0"/>
    <w:rsid w:val="00AE1C04"/>
    <w:rsid w:val="00AE4972"/>
    <w:rsid w:val="00AE4E36"/>
    <w:rsid w:val="00AF33BF"/>
    <w:rsid w:val="00AF46A4"/>
    <w:rsid w:val="00AF5837"/>
    <w:rsid w:val="00AF641B"/>
    <w:rsid w:val="00B04711"/>
    <w:rsid w:val="00B10437"/>
    <w:rsid w:val="00B11FA9"/>
    <w:rsid w:val="00B22A91"/>
    <w:rsid w:val="00B24C94"/>
    <w:rsid w:val="00B27D14"/>
    <w:rsid w:val="00B3080F"/>
    <w:rsid w:val="00B30E19"/>
    <w:rsid w:val="00B3405E"/>
    <w:rsid w:val="00B34665"/>
    <w:rsid w:val="00B3674F"/>
    <w:rsid w:val="00B37F80"/>
    <w:rsid w:val="00B43800"/>
    <w:rsid w:val="00B47E7B"/>
    <w:rsid w:val="00B50485"/>
    <w:rsid w:val="00B534B9"/>
    <w:rsid w:val="00B61EBE"/>
    <w:rsid w:val="00B847B1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3358"/>
    <w:rsid w:val="00BC4FA3"/>
    <w:rsid w:val="00BC6A31"/>
    <w:rsid w:val="00BC6E11"/>
    <w:rsid w:val="00BD27C7"/>
    <w:rsid w:val="00BE1FB7"/>
    <w:rsid w:val="00BF1C76"/>
    <w:rsid w:val="00C05FF1"/>
    <w:rsid w:val="00C07538"/>
    <w:rsid w:val="00C101A7"/>
    <w:rsid w:val="00C12851"/>
    <w:rsid w:val="00C14012"/>
    <w:rsid w:val="00C1445A"/>
    <w:rsid w:val="00C31C2D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60865"/>
    <w:rsid w:val="00C70446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5486"/>
    <w:rsid w:val="00CD5616"/>
    <w:rsid w:val="00CD7C1B"/>
    <w:rsid w:val="00CE0645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4351"/>
    <w:rsid w:val="00D20B19"/>
    <w:rsid w:val="00D214AA"/>
    <w:rsid w:val="00D2300E"/>
    <w:rsid w:val="00D24F3C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69E0"/>
    <w:rsid w:val="00DD6C51"/>
    <w:rsid w:val="00DE7AAA"/>
    <w:rsid w:val="00DF6422"/>
    <w:rsid w:val="00E029B6"/>
    <w:rsid w:val="00E035BA"/>
    <w:rsid w:val="00E03E79"/>
    <w:rsid w:val="00E03E81"/>
    <w:rsid w:val="00E10A68"/>
    <w:rsid w:val="00E111C1"/>
    <w:rsid w:val="00E254E2"/>
    <w:rsid w:val="00E27B41"/>
    <w:rsid w:val="00E3059D"/>
    <w:rsid w:val="00E3282F"/>
    <w:rsid w:val="00E41CBA"/>
    <w:rsid w:val="00E458E7"/>
    <w:rsid w:val="00E46C26"/>
    <w:rsid w:val="00E5085A"/>
    <w:rsid w:val="00E540F9"/>
    <w:rsid w:val="00E56954"/>
    <w:rsid w:val="00E61782"/>
    <w:rsid w:val="00E70AF1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D6"/>
    <w:rsid w:val="00F16201"/>
    <w:rsid w:val="00F17C4C"/>
    <w:rsid w:val="00F25EE0"/>
    <w:rsid w:val="00F26945"/>
    <w:rsid w:val="00F3243C"/>
    <w:rsid w:val="00F325B7"/>
    <w:rsid w:val="00F334BA"/>
    <w:rsid w:val="00F35BBC"/>
    <w:rsid w:val="00F401EC"/>
    <w:rsid w:val="00F46129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E683D"/>
    <w:rsid w:val="00FF01DA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2546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2015-12-01T07:01:00Z</dcterms:created>
  <dcterms:modified xsi:type="dcterms:W3CDTF">2015-12-01T07:03:00Z</dcterms:modified>
</cp:coreProperties>
</file>