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>Uchwała Nr VII/34/15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32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Rady Gminy w Brudzeniu Dużym 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 dnia 07 maja 2015r.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2015 – 2033.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A4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ustawy z dnia 8 marca 1990r. o samorządzie gminnym (tekst jednolity z 2013 </w:t>
      </w:r>
      <w:proofErr w:type="spellStart"/>
      <w:r w:rsidRPr="00A96A49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A96A49">
        <w:rPr>
          <w:rFonts w:ascii="Times New Roman" w:hAnsi="Times New Roman" w:cs="Times New Roman"/>
          <w:color w:val="000000"/>
          <w:sz w:val="24"/>
          <w:szCs w:val="24"/>
        </w:rPr>
        <w:t xml:space="preserve">. poz. 594 z </w:t>
      </w:r>
      <w:proofErr w:type="spellStart"/>
      <w:r w:rsidRPr="00A96A49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A96A49">
        <w:rPr>
          <w:rFonts w:ascii="Times New Roman" w:hAnsi="Times New Roman" w:cs="Times New Roman"/>
          <w:color w:val="000000"/>
          <w:sz w:val="24"/>
          <w:szCs w:val="24"/>
        </w:rPr>
        <w:t xml:space="preserve">. zmianami) art. 226, art. 227, art. 228, art. 229, art. 231, art. 232 ustawy z dnia 27 sierpnia 2009r. o finansach publicznych (tekst jednolity Dz. U. z 2013, poz. 885 z </w:t>
      </w:r>
      <w:proofErr w:type="spellStart"/>
      <w:r w:rsidRPr="00A96A4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A96A49">
        <w:rPr>
          <w:rFonts w:ascii="Times New Roman" w:hAnsi="Times New Roman" w:cs="Times New Roman"/>
          <w:color w:val="000000"/>
          <w:sz w:val="24"/>
          <w:szCs w:val="24"/>
        </w:rPr>
        <w:t xml:space="preserve">. zm.) oraz uchwały Nr III/13/14 z dnia 30 grudnia 2014r. Rady Gminy w Brudzeniu Dużym na lata 2015 -2033 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Zmianie ulega załącznik Nr 1 do Uchwały Nr III/13/14 Rady Gminy w Brudzeniu Dużym z dnia 30.12.2014r. pn. "Wieloletnia Prognoza Finansowa", który otrzymuje brzmienie jak załącznik Nr 1 do niniejszej Uchwały oraz zmianie ulega załącznik Nr 2 do uchwały Nr III/13/14 Rady Gminy w Brudzeniu Dużym z dnia 30.12.2014r. pn. "Wykaz przedsięwzięć do WPF", który otrzymuje brzmienie jak załącznik Nr 2 do niniejszej Uchwały.</w:t>
      </w:r>
    </w:p>
    <w:p w:rsidR="00A96A49" w:rsidRPr="00A96A49" w:rsidRDefault="00A96A49" w:rsidP="00A96A4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Upoważnia się Wójta Gminy Brudzeń Duży do zaciągania zobowiązań:</w:t>
      </w:r>
    </w:p>
    <w:p w:rsidR="00A96A49" w:rsidRPr="00A96A49" w:rsidRDefault="00A96A49" w:rsidP="00A96A4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związanych z realizacją zamieszczonych w prognozie przedsięwzięć wieloletnich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                  ujętych w załączniku nr 2,</w:t>
      </w:r>
    </w:p>
    <w:p w:rsidR="00A96A49" w:rsidRPr="00A96A49" w:rsidRDefault="00A96A49" w:rsidP="00A96A49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z tytułu umów, których realizacja w roku budżetowym i w latach następnych jest </w:t>
      </w:r>
      <w:r w:rsidRPr="00A96A49">
        <w:rPr>
          <w:rFonts w:ascii="Times New Roman" w:hAnsi="Times New Roman" w:cs="Times New Roman"/>
          <w:sz w:val="24"/>
          <w:szCs w:val="24"/>
        </w:rPr>
        <w:tab/>
      </w:r>
    </w:p>
    <w:p w:rsidR="00A96A49" w:rsidRPr="00A96A49" w:rsidRDefault="00A96A49" w:rsidP="00A96A4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niezbędna do zapewnienia ciągłości działania jednostki i z których wynikające płatności wykraczają poza rok budżetowy.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Rafał Nowak</w:t>
      </w:r>
    </w:p>
    <w:p w:rsidR="00A96A49" w:rsidRPr="00A96A49" w:rsidRDefault="00A96A49" w:rsidP="00A96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ab/>
        <w:t xml:space="preserve">W Wieloletniej Prognozie Finansowej urealniono załącznik Nr 1 do Uchwały Nr III/13/14 Rady Gminy w Brudzeniu Dużym z dnia 30 grudnia 2014r. pn. "Wieloletnia Prognoza Finansowa" oraz załącznik Nr 2 do uchwały Nr </w:t>
      </w:r>
      <w:r w:rsidRPr="00A96A49">
        <w:rPr>
          <w:rFonts w:ascii="Times New Roman" w:hAnsi="Times New Roman" w:cs="Times New Roman"/>
          <w:sz w:val="24"/>
          <w:szCs w:val="24"/>
        </w:rPr>
        <w:tab/>
        <w:t>III/13/14 Rady Gminy w Brudzeniu Dużym z dnia 30 grudnia 2014r. pn. "Wykaz przedsięwzięć do WPF".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2015 Nr III/14/14 Rady Gminy Brudzeń Duży z dnia 30 grudnia 2014r. 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A49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Dochody ogółem w 2015 roku kształtują się na poziomie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21 393 681,72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Zmianie uległy dochody bieżące kolumna 1.1. zwiększono dochody w związku ze zwiększeniem części oświatowej subwencji ogólnej na podstawie pisma MF Nr ST3.4750.5.2015 z dnia 06.02.2015r. o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73 980,00.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 Dochody z tytułu dotacji i środków przeznaczonych na cele bieżące zwiększono o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21 935,00, </w:t>
      </w:r>
      <w:r w:rsidRPr="00A96A49">
        <w:rPr>
          <w:rFonts w:ascii="Times New Roman" w:hAnsi="Times New Roman" w:cs="Times New Roman"/>
          <w:sz w:val="24"/>
          <w:szCs w:val="24"/>
        </w:rPr>
        <w:t>jest to dofinansowanie otrzymane z Urzędu Marszałkowskiego w Warszawie na podstawie umowy nr 00301-6930-UM0740758/14 z dnia 12.12.2014r. na realizację operacji pn. "Festiwal Ginących Zawodów w Brudzeniu Dużym".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Zwiększono dochody o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540 296,72</w:t>
      </w:r>
      <w:r w:rsidRPr="00A96A49">
        <w:rPr>
          <w:rFonts w:ascii="Times New Roman" w:hAnsi="Times New Roman" w:cs="Times New Roman"/>
          <w:sz w:val="24"/>
          <w:szCs w:val="24"/>
        </w:rPr>
        <w:t xml:space="preserve"> w związku z przyznaniem dotacji z KBW na zadania związane z przygotowaniem i przeprowadzeniem wyborów Prezydenta RP , zwiększono dotacje celową w zakresie wychowania przedszkolnego, przekazano środki na realizację zadań związanych z Kartą Dużej Rodziny, na realizację rządowego programu wspierania osób uprawnionych do świadczenia pielęgnacyjnego, zwiększono dotacje na dofinansowanie świadczeń pomocy materialnej o charakterze socjalnym dla uczniów oraz zwiększono plan dochodów bieżących w związku z otrzymaną dotacją z MUW w Warszawie na wypłatę podatku akcyzowego zawartego w cenie oleju napędowego.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Zmiany zostały wprowadzone wcześniejszymi zarządzeniami wpływającymi na budżet.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Dochody bieżące zwiększono również z tytułu udziału we wpływach  podatku dochodowego od osób fizycznych zwiększono do kwoty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3 338 302,00</w:t>
      </w:r>
      <w:r w:rsidRPr="00A96A49">
        <w:rPr>
          <w:rFonts w:ascii="Times New Roman" w:hAnsi="Times New Roman" w:cs="Times New Roman"/>
          <w:sz w:val="24"/>
          <w:szCs w:val="24"/>
        </w:rPr>
        <w:t>, zwiększenie wynika z informacji przesłanej przez Ministerstwo Finansów, pismo Nr ST3.4750.5.2015 z dnia 06.02.2015 roku.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Dochody majątkowe w roku 2015, kolumna 1.2 oraz kolumna 1.2.1 zwiększono plan o kwotę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162 000,00 w </w:t>
      </w:r>
      <w:r w:rsidRPr="00A96A49">
        <w:rPr>
          <w:rFonts w:ascii="Times New Roman" w:hAnsi="Times New Roman" w:cs="Times New Roman"/>
          <w:sz w:val="24"/>
          <w:szCs w:val="24"/>
        </w:rPr>
        <w:t>związku ze sprzedażą budynku po byłej szkole w Myśliborzycach stanowiącej mienie gminy oraz gruntów ornych stanowiących majątek gminy.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ab/>
        <w:t xml:space="preserve">Wydatki ogółem w 2015 roku kształtują się na poziomie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21 146 681,72</w:t>
      </w:r>
      <w:r w:rsidRPr="00A96A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Zmianie uległy wydatki bieżące kolumna 2.1. Kształtują się na poziomie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20 035 303,72</w:t>
      </w:r>
      <w:r w:rsidRPr="00A96A49">
        <w:rPr>
          <w:rFonts w:ascii="Times New Roman" w:hAnsi="Times New Roman" w:cs="Times New Roman"/>
          <w:sz w:val="24"/>
          <w:szCs w:val="24"/>
        </w:rPr>
        <w:t xml:space="preserve">. Zmiany wprowadzone uchwałą dotyczą zwiększenia planu wydatków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83 781,00 </w:t>
      </w:r>
      <w:r w:rsidRPr="00A96A49">
        <w:rPr>
          <w:rFonts w:ascii="Times New Roman" w:hAnsi="Times New Roman" w:cs="Times New Roman"/>
          <w:sz w:val="24"/>
          <w:szCs w:val="24"/>
        </w:rPr>
        <w:t xml:space="preserve">na pokrycie wydatków związanych z gospodarką wodną, są to wydatki rzeczowe związane z utrzymaniem sieci wodociągowej na terenie gminy,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150 000,00 </w:t>
      </w:r>
      <w:r w:rsidRPr="00A96A49">
        <w:rPr>
          <w:rFonts w:ascii="Times New Roman" w:hAnsi="Times New Roman" w:cs="Times New Roman"/>
          <w:sz w:val="24"/>
          <w:szCs w:val="24"/>
        </w:rPr>
        <w:t xml:space="preserve">z przeznaczeniem na bieżące utrzymanie dróg gminnych - dostawa kruszywa,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48 000,00 </w:t>
      </w:r>
      <w:r w:rsidRPr="00A96A49">
        <w:rPr>
          <w:rFonts w:ascii="Times New Roman" w:hAnsi="Times New Roman" w:cs="Times New Roman"/>
          <w:sz w:val="24"/>
          <w:szCs w:val="24"/>
        </w:rPr>
        <w:t xml:space="preserve">z przeznaczeniem na wypłatę wynagrodzeń wraz z pochodnymi dla administracji samorządowej (wynagrodzenia osobowe, nagroda jubileuszowa wraz z pochodnymi, a także wynagrodzenia osobowe wraz z pochodnymi dla pracowników wykonujących prace publiczne), zwiększa się plan wydatków rzeczowych związanych z zakupem materiałów i wyposażenia oraz zakupem usług pozostałych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90 860,00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oraz zwiększa się plan wydatków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na wypłaty dla sołtysów za inkaso zobowiązań pieniężnych. Plan wydatków  zwiększono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32 835,00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na wydatki rzeczowe związane z promocją gminy,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36 000,00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na wypłatę wynagrodzeń osobowych w szkołach podstawowych,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37 980,00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na wypłatę  na wynagrodzeń osobowych w gimnazjach,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32 700,00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na pokrycie wydatków związanych z gospodarką ściekową. Są to wydatki rzeczowe związane z utrzymaniem sieci kanalizacyjnej na terenie gminy.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Zmiany w wydatkach bieżących wprowadzone zarządzeniami wpływającymi na budżet dotyczą zwiększenia wydatków o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540 296,72. </w:t>
      </w:r>
      <w:r w:rsidRPr="00A96A49">
        <w:rPr>
          <w:rFonts w:ascii="Times New Roman" w:hAnsi="Times New Roman" w:cs="Times New Roman"/>
          <w:sz w:val="24"/>
          <w:szCs w:val="24"/>
        </w:rPr>
        <w:t>Zmiany dotyczą zadań związanych z przygotowaniem i przeprowadzeniem wyborów na Prezydenta RP, wydatków rzeczowych związanych z obsługą rządowego programu Karta Dużej Rodziny, wypłaty dodatku do świadczenia pielęgnacyjnego, wynagrodzenia w oddziale przedszkolnym, wypłaty stypendiów o charakterze socjalnym dla uczniów oraz wypłaty podatku akcyzowego zawartego w cenie oleju napędowego.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W 2016 roku zmniejszono plan wydatków na obsługę długu o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30 000,00</w:t>
      </w:r>
    </w:p>
    <w:p w:rsidR="00A96A49" w:rsidRPr="00A96A49" w:rsidRDefault="00A96A49" w:rsidP="00A96A49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Wydatki majątkowe kolumna 2.2  plan zwiększono o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153 378,00 </w:t>
      </w:r>
      <w:r w:rsidRPr="00A96A49">
        <w:rPr>
          <w:rFonts w:ascii="Times New Roman" w:hAnsi="Times New Roman" w:cs="Times New Roman"/>
          <w:sz w:val="24"/>
          <w:szCs w:val="24"/>
        </w:rPr>
        <w:t>tj. do kwoty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1 111 378,00 </w:t>
      </w:r>
      <w:r w:rsidRPr="00A96A49">
        <w:rPr>
          <w:rFonts w:ascii="Times New Roman" w:hAnsi="Times New Roman" w:cs="Times New Roman"/>
          <w:sz w:val="24"/>
          <w:szCs w:val="24"/>
        </w:rPr>
        <w:t>na:</w:t>
      </w:r>
    </w:p>
    <w:p w:rsidR="00A96A49" w:rsidRPr="00A96A49" w:rsidRDefault="00A96A49" w:rsidP="00A96A49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96A49">
        <w:rPr>
          <w:rFonts w:ascii="Times New Roman" w:hAnsi="Times New Roman" w:cs="Times New Roman"/>
          <w:sz w:val="24"/>
          <w:szCs w:val="24"/>
        </w:rPr>
        <w:t xml:space="preserve"> realizacje zadania "Zakup i montaż wiaty przystankowej w miejscowości Karwosieki Cholewice" kwota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10 000,00</w:t>
      </w:r>
    </w:p>
    <w:p w:rsidR="00A96A49" w:rsidRPr="00A96A49" w:rsidRDefault="00A96A49" w:rsidP="00A96A49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A96A49">
        <w:rPr>
          <w:rFonts w:ascii="Times New Roman" w:hAnsi="Times New Roman" w:cs="Times New Roman"/>
          <w:sz w:val="24"/>
          <w:szCs w:val="24"/>
        </w:rPr>
        <w:t xml:space="preserve">pokrycie brakujących środków na zadaniu "Poprawa wyposażenia gminy Brudzeń Duży w infrastrukturę wodociągowa i kanalizacyjną" kwota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300,00</w:t>
      </w:r>
    </w:p>
    <w:p w:rsidR="00A96A49" w:rsidRPr="00A96A49" w:rsidRDefault="00A96A49" w:rsidP="00A96A49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96A49">
        <w:rPr>
          <w:rFonts w:ascii="Times New Roman" w:hAnsi="Times New Roman" w:cs="Times New Roman"/>
          <w:sz w:val="24"/>
          <w:szCs w:val="24"/>
        </w:rPr>
        <w:t xml:space="preserve">- realizację zadania pod nazwą "Termomodernizacja z nadbudową i rozbudową S.P. w   Brudzeniu Dużym" kwota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40 000,00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 - realizację zadania majątkowego pn. „Zakup samochodu dla OSP w Sikorzu” kwota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70 000,00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 - realizację zadania majątkowego pn. „Rewitalizacja parku zabytkowego w Brudzeniu Dużym – etap II”. Kwota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33 078,00 </w:t>
      </w:r>
      <w:r w:rsidRPr="00A96A49">
        <w:rPr>
          <w:rFonts w:ascii="Times New Roman" w:hAnsi="Times New Roman" w:cs="Times New Roman"/>
          <w:sz w:val="24"/>
          <w:szCs w:val="24"/>
        </w:rPr>
        <w:t>przeznaczona jest na zapłatę nadzoru inwestorskiego oraz roboty dodatkowe.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zwiększono do kwoty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9 358 902,01.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Wydatki związane z funkcjonowaniem organów jednostki samorządu terytorialnego kolumna 11.2 plan zwiększono do kwoty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2 788 176,00.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Wydatki inwestycyjne kontynuowane w 2015 roku kolumna 11.4 zwiększono o kwotę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33 378,00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. Są to wydatki na zadania pn. „ Poprawa wyposażenia gminy Brudzeń Duży w infrastrukturę wodociągowa i kanalizacyjną” oraz „Rewitalizacja parku zabytkowego w Brudzeniu Dużym – etap II”. W roku 2018 zwiększono plan wydatków o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95 000,00 </w:t>
      </w:r>
      <w:r w:rsidRPr="00A96A49">
        <w:rPr>
          <w:rFonts w:ascii="Times New Roman" w:hAnsi="Times New Roman" w:cs="Times New Roman"/>
          <w:sz w:val="24"/>
          <w:szCs w:val="24"/>
        </w:rPr>
        <w:t>w związku z kontynuacją realizacji zadań pn. „</w:t>
      </w:r>
      <w:proofErr w:type="spellStart"/>
      <w:r w:rsidRPr="00A96A49">
        <w:rPr>
          <w:rFonts w:ascii="Times New Roman" w:hAnsi="Times New Roman" w:cs="Times New Roman"/>
          <w:sz w:val="24"/>
          <w:szCs w:val="24"/>
        </w:rPr>
        <w:t>Termodernizacja</w:t>
      </w:r>
      <w:proofErr w:type="spellEnd"/>
      <w:r w:rsidRPr="00A96A49">
        <w:rPr>
          <w:rFonts w:ascii="Times New Roman" w:hAnsi="Times New Roman" w:cs="Times New Roman"/>
          <w:sz w:val="24"/>
          <w:szCs w:val="24"/>
        </w:rPr>
        <w:t xml:space="preserve"> z nadbudową i rozbudową szkoły podstawowej w Brudzeniu Dużym” kwota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50 000,00 </w:t>
      </w:r>
      <w:r w:rsidRPr="00A96A49">
        <w:rPr>
          <w:rFonts w:ascii="Times New Roman" w:hAnsi="Times New Roman" w:cs="Times New Roman"/>
          <w:sz w:val="24"/>
          <w:szCs w:val="24"/>
        </w:rPr>
        <w:t xml:space="preserve">(zadanie rozpoczęte zostanie w 2015 roku) 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oraz „Budowa ścieżki rowerowej wzdłuż drogi 562” kwota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45 000,00 </w:t>
      </w:r>
      <w:r w:rsidRPr="00A96A49">
        <w:rPr>
          <w:rFonts w:ascii="Times New Roman" w:hAnsi="Times New Roman" w:cs="Times New Roman"/>
          <w:sz w:val="24"/>
          <w:szCs w:val="24"/>
        </w:rPr>
        <w:t>(realizacja zadania rozpocznie się w 2017 roku)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  Nowe wydatki inwestycyjne w 2015 roku kolumna 11.5 uległy zwiększeniu o kwotę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120 000,00 </w:t>
      </w:r>
      <w:r w:rsidRPr="00A96A49">
        <w:rPr>
          <w:rFonts w:ascii="Times New Roman" w:hAnsi="Times New Roman" w:cs="Times New Roman"/>
          <w:sz w:val="24"/>
          <w:szCs w:val="24"/>
        </w:rPr>
        <w:t xml:space="preserve">w związku ze zmianą w wydatkach majątkowych. W kolumnie11.5 w 2017 roku zwiększono plan o kwotę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5 000,00 </w:t>
      </w:r>
      <w:r w:rsidRPr="00A96A49">
        <w:rPr>
          <w:rFonts w:ascii="Times New Roman" w:hAnsi="Times New Roman" w:cs="Times New Roman"/>
          <w:sz w:val="24"/>
          <w:szCs w:val="24"/>
        </w:rPr>
        <w:t>w związku z planowanym rozpoczęciem realizacji zadania pn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6A49">
        <w:rPr>
          <w:rFonts w:ascii="Times New Roman" w:hAnsi="Times New Roman" w:cs="Times New Roman"/>
          <w:sz w:val="24"/>
          <w:szCs w:val="24"/>
        </w:rPr>
        <w:t>„Budowa ścieżki rowerowej wzdłuż drogi 562”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Wydatki ujęte w kolumnach 11.3, 11.3.1, 11.3.2 uległy zmianie w związku zmianą limitów w 2015, 2017 i 2018 roku w przedsięwzięciach wykazanych w załączniku nr 2 do niniejszej uchwały.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Zwiększono plan dochodów bieżących w kolumnie 12.1, 12.1.1, 12.1.1.1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21 935,00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w związku z otrzymaniem dofinansowania z Urzędu Marszałkowskiego  w Warszawie ze </w:t>
      </w:r>
      <w:r w:rsidRPr="00A96A49">
        <w:rPr>
          <w:rFonts w:ascii="Times New Roman" w:hAnsi="Times New Roman" w:cs="Times New Roman"/>
          <w:sz w:val="24"/>
          <w:szCs w:val="24"/>
        </w:rPr>
        <w:lastRenderedPageBreak/>
        <w:t>środków budżetu unii. Jest to refundacja poniesionych wydatków na imprezę pn. „Festiwal Ginących Zawodów w Brudzeniu Dużym” w 2014r.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Wydatki majątkowe na programy, projekty lub zadania finansowane z udziałem środków, o których mowa w art.5 ust. 1 pkt 2 i 3 ustawy zwiększono do kwoty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613 378,00. </w:t>
      </w:r>
      <w:r w:rsidRPr="00A96A49">
        <w:rPr>
          <w:rFonts w:ascii="Times New Roman" w:hAnsi="Times New Roman" w:cs="Times New Roman"/>
          <w:sz w:val="24"/>
          <w:szCs w:val="24"/>
        </w:rPr>
        <w:t>Są to środki przeznaczone na realizację zadania „Poprawa wyposażenia gminy Brudzeń Duży w infrastrukturę wodociągową i kanalizacyjną” oraz „Rewitalizacja parku zabytkowego w Brudzeniu Dużym – etap II”.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Wydatki w kolumnie 12.4.1 uległy zmianie na podstawie Decyzji Nr 6/2015 Wójta Gminy w Brudzeniu Dużym z dnia 31 marca 2015r i dotyczą przeniesienia środków między paragrafami na zadaniach „Rewitalizacją zabytkowego muzeum im. Stanisława Murzynowskiego w Murzynowie” –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1 462,00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, „Rewitalizacja zabytkowego parku w Brudzeniu Dużym – etap II” –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41 338,00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oraz „Poprawa wyposażenia Gminy Brudzeniu Duży w infrastrukturę wodociągową i kanalizacyjną „ –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8 615,00. 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Wydatki na wkład krajowy w kolumnie 12.5 zmniejszono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A49">
        <w:rPr>
          <w:rFonts w:ascii="Times New Roman" w:hAnsi="Times New Roman" w:cs="Times New Roman"/>
          <w:sz w:val="24"/>
          <w:szCs w:val="24"/>
        </w:rPr>
        <w:t xml:space="preserve">na podstawie Decyzji Nr 6/2015 Wójta Gminy w Brudzeniu Dużym z dnia 31 marca 2015r o kwotę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51 415,00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oraz zwiększono niniejszą uchwałą Rady Gminy w Brudzeniu Dużym o kwotę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33 378,00.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247 000,00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A96A49" w:rsidRPr="00A96A49" w:rsidRDefault="00A96A49" w:rsidP="00A96A49">
      <w:pPr>
        <w:numPr>
          <w:ilvl w:val="0"/>
          <w:numId w:val="1"/>
        </w:numPr>
        <w:tabs>
          <w:tab w:val="left" w:pos="1080"/>
          <w:tab w:val="left" w:pos="130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planowaną spłatę rat kredytów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247 000,00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Przychody budżetu kształtują się w wysokości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303 000,00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zł. Wolne środki w kwocie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303 000,00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zł przeznacza się na rozchody w wysokości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303 000,00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zł tj. na spłatę zaciągniętych wcześniej zobowiązań z tytułu kredytu w wysokości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53 000,00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oraz pożyczki w wysokości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 xml:space="preserve"> 250 000,00.</w:t>
      </w:r>
      <w:r w:rsidRPr="00A96A49">
        <w:rPr>
          <w:rFonts w:ascii="Times New Roman" w:hAnsi="Times New Roman" w:cs="Times New Roman"/>
          <w:sz w:val="24"/>
          <w:szCs w:val="24"/>
        </w:rPr>
        <w:t xml:space="preserve"> Rozchody kształtują się w wysokości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550 000,00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96A49" w:rsidRPr="00A96A49" w:rsidRDefault="00A96A49" w:rsidP="00A96A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W załączniku Nr 2 dotyczącego przedsięwzięć dokonano zmian w przedsięwzięciach: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- „Poprawa wyposażenia Gminy Brudzeń Duży w infrastrukturę wodociągową i kanalizacyjną” o kwotę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300,00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jest to pokrycie brakujących środków na nadzór inwestorski.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lastRenderedPageBreak/>
        <w:t xml:space="preserve">-„Rewitalizacja zabytkowego parku w Brudzeniu Dużym – etap II” o kwotę </w:t>
      </w:r>
      <w:r w:rsidRPr="00A96A49">
        <w:rPr>
          <w:rFonts w:ascii="Times New Roman" w:hAnsi="Times New Roman" w:cs="Times New Roman"/>
          <w:b/>
          <w:bCs/>
          <w:sz w:val="24"/>
          <w:szCs w:val="24"/>
        </w:rPr>
        <w:t>33 078,00</w:t>
      </w:r>
      <w:r w:rsidRPr="00A96A49">
        <w:rPr>
          <w:rFonts w:ascii="Times New Roman" w:hAnsi="Times New Roman" w:cs="Times New Roman"/>
          <w:sz w:val="24"/>
          <w:szCs w:val="24"/>
        </w:rPr>
        <w:t xml:space="preserve"> z przeznaczeniem na zapłatę za nadzór inwestorski oraz  za roboty dodatkowe.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Wprowadzono dwa nowe przedsięwzięcia:</w:t>
      </w:r>
    </w:p>
    <w:p w:rsidR="00A96A49" w:rsidRPr="00A96A49" w:rsidRDefault="00A96A49" w:rsidP="00A96A49">
      <w:pPr>
        <w:tabs>
          <w:tab w:val="left" w:pos="12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A49">
        <w:rPr>
          <w:rFonts w:ascii="Times New Roman" w:hAnsi="Times New Roman" w:cs="Times New Roman"/>
          <w:color w:val="000000"/>
          <w:sz w:val="24"/>
          <w:szCs w:val="24"/>
        </w:rPr>
        <w:t xml:space="preserve">- „Termomodernizacja z nadbudową i rozbudową szkoły podstawowej w Brudzeniu Dużym”. </w:t>
      </w:r>
    </w:p>
    <w:p w:rsidR="00A96A49" w:rsidRPr="00A96A49" w:rsidRDefault="00A96A49" w:rsidP="00A96A49">
      <w:pPr>
        <w:tabs>
          <w:tab w:val="left" w:pos="12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A49">
        <w:rPr>
          <w:rFonts w:ascii="Times New Roman" w:hAnsi="Times New Roman" w:cs="Times New Roman"/>
          <w:color w:val="000000"/>
          <w:sz w:val="24"/>
          <w:szCs w:val="24"/>
        </w:rPr>
        <w:t>Jest to zadanie czteroletnie, rozpoczynające się w roku 2015, kontynuacja oraz zakończenie nastąpi w 2018 roku.  Jest to zadanie związane z poprawą wykorzystania oraz wytwarzaniem energii elektrycznej i cieplnej w budynkach użyteczności publicznej.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>- „Budowa ścieżki rowerowej wzdłuż drogi 562”, jest to zadanie dwuletnie planowane na lata 2017-2018.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49" w:rsidRPr="00A96A49" w:rsidRDefault="00A96A49" w:rsidP="00A96A49">
      <w:pPr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49" w:rsidRPr="00A96A49" w:rsidRDefault="00A96A49" w:rsidP="00A96A49">
      <w:pPr>
        <w:tabs>
          <w:tab w:val="left" w:pos="13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49" w:rsidRPr="00A96A49" w:rsidRDefault="00A96A49" w:rsidP="00A9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 w:rsidP="00A96A49"/>
    <w:sectPr w:rsidR="00FA3968" w:rsidSect="008344D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9"/>
    <w:rsid w:val="00001B51"/>
    <w:rsid w:val="00001E08"/>
    <w:rsid w:val="00003CD3"/>
    <w:rsid w:val="00004C63"/>
    <w:rsid w:val="00006B5E"/>
    <w:rsid w:val="000107DD"/>
    <w:rsid w:val="00015591"/>
    <w:rsid w:val="00016C0C"/>
    <w:rsid w:val="00016F47"/>
    <w:rsid w:val="00021484"/>
    <w:rsid w:val="00024799"/>
    <w:rsid w:val="000637AC"/>
    <w:rsid w:val="00064524"/>
    <w:rsid w:val="00064CCE"/>
    <w:rsid w:val="00085A64"/>
    <w:rsid w:val="000902D5"/>
    <w:rsid w:val="00096A33"/>
    <w:rsid w:val="000A0F5C"/>
    <w:rsid w:val="000A3932"/>
    <w:rsid w:val="000A3F20"/>
    <w:rsid w:val="000C06C8"/>
    <w:rsid w:val="000C5E4E"/>
    <w:rsid w:val="000E5D70"/>
    <w:rsid w:val="000F1A41"/>
    <w:rsid w:val="000F4BB1"/>
    <w:rsid w:val="00100130"/>
    <w:rsid w:val="00102229"/>
    <w:rsid w:val="00125272"/>
    <w:rsid w:val="00134093"/>
    <w:rsid w:val="00146B11"/>
    <w:rsid w:val="00147910"/>
    <w:rsid w:val="001627E1"/>
    <w:rsid w:val="00163D22"/>
    <w:rsid w:val="0016418D"/>
    <w:rsid w:val="001805E2"/>
    <w:rsid w:val="00181F23"/>
    <w:rsid w:val="0018344C"/>
    <w:rsid w:val="00184466"/>
    <w:rsid w:val="00191ED2"/>
    <w:rsid w:val="0019520C"/>
    <w:rsid w:val="001C3182"/>
    <w:rsid w:val="001E0256"/>
    <w:rsid w:val="001E4862"/>
    <w:rsid w:val="001E4CC8"/>
    <w:rsid w:val="001E664D"/>
    <w:rsid w:val="001F4152"/>
    <w:rsid w:val="002105C5"/>
    <w:rsid w:val="00211A20"/>
    <w:rsid w:val="00214DE2"/>
    <w:rsid w:val="00235A85"/>
    <w:rsid w:val="0025008B"/>
    <w:rsid w:val="0025018F"/>
    <w:rsid w:val="00252EBE"/>
    <w:rsid w:val="0025309E"/>
    <w:rsid w:val="00275B0A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CB4"/>
    <w:rsid w:val="002C31ED"/>
    <w:rsid w:val="002C7043"/>
    <w:rsid w:val="002D4D0D"/>
    <w:rsid w:val="002D6DBB"/>
    <w:rsid w:val="002D7073"/>
    <w:rsid w:val="002E06A0"/>
    <w:rsid w:val="002E0A64"/>
    <w:rsid w:val="002E0AAC"/>
    <w:rsid w:val="002E1EF2"/>
    <w:rsid w:val="002F13FE"/>
    <w:rsid w:val="002F1938"/>
    <w:rsid w:val="002F5242"/>
    <w:rsid w:val="002F66E6"/>
    <w:rsid w:val="00304BC8"/>
    <w:rsid w:val="00307B2D"/>
    <w:rsid w:val="003134DE"/>
    <w:rsid w:val="00317618"/>
    <w:rsid w:val="00321D04"/>
    <w:rsid w:val="003232FD"/>
    <w:rsid w:val="003301FB"/>
    <w:rsid w:val="0033559E"/>
    <w:rsid w:val="00336414"/>
    <w:rsid w:val="00351582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619E"/>
    <w:rsid w:val="003C75E4"/>
    <w:rsid w:val="003D3971"/>
    <w:rsid w:val="003E2491"/>
    <w:rsid w:val="003E7722"/>
    <w:rsid w:val="003F3312"/>
    <w:rsid w:val="00403428"/>
    <w:rsid w:val="004057EB"/>
    <w:rsid w:val="00406245"/>
    <w:rsid w:val="00410C23"/>
    <w:rsid w:val="00411019"/>
    <w:rsid w:val="0041281C"/>
    <w:rsid w:val="004243FA"/>
    <w:rsid w:val="00435EA7"/>
    <w:rsid w:val="004431B7"/>
    <w:rsid w:val="00461BC5"/>
    <w:rsid w:val="00461E21"/>
    <w:rsid w:val="00470E9E"/>
    <w:rsid w:val="00474713"/>
    <w:rsid w:val="00476C4A"/>
    <w:rsid w:val="00476E5D"/>
    <w:rsid w:val="00477CD0"/>
    <w:rsid w:val="00477EEC"/>
    <w:rsid w:val="00491C37"/>
    <w:rsid w:val="004A384B"/>
    <w:rsid w:val="004B60AD"/>
    <w:rsid w:val="004D05B6"/>
    <w:rsid w:val="004D5EBD"/>
    <w:rsid w:val="004D7EAA"/>
    <w:rsid w:val="004E0223"/>
    <w:rsid w:val="004E52EF"/>
    <w:rsid w:val="004F5596"/>
    <w:rsid w:val="004F62BA"/>
    <w:rsid w:val="004F67EB"/>
    <w:rsid w:val="005104C8"/>
    <w:rsid w:val="00510E4D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830"/>
    <w:rsid w:val="00561949"/>
    <w:rsid w:val="00565171"/>
    <w:rsid w:val="0056588D"/>
    <w:rsid w:val="00567BB7"/>
    <w:rsid w:val="00575862"/>
    <w:rsid w:val="00580D14"/>
    <w:rsid w:val="00585776"/>
    <w:rsid w:val="00585D39"/>
    <w:rsid w:val="00593E03"/>
    <w:rsid w:val="005A6F1E"/>
    <w:rsid w:val="005B2445"/>
    <w:rsid w:val="005B273E"/>
    <w:rsid w:val="005B40F7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10089"/>
    <w:rsid w:val="00612D7F"/>
    <w:rsid w:val="0061389D"/>
    <w:rsid w:val="006157F0"/>
    <w:rsid w:val="00620D00"/>
    <w:rsid w:val="0063285C"/>
    <w:rsid w:val="0064386D"/>
    <w:rsid w:val="00643D01"/>
    <w:rsid w:val="00644095"/>
    <w:rsid w:val="006560EF"/>
    <w:rsid w:val="006625B6"/>
    <w:rsid w:val="0068616F"/>
    <w:rsid w:val="006A0566"/>
    <w:rsid w:val="006A0CFC"/>
    <w:rsid w:val="006A2190"/>
    <w:rsid w:val="006A4D49"/>
    <w:rsid w:val="006B2ADB"/>
    <w:rsid w:val="006B31E9"/>
    <w:rsid w:val="006B4EAC"/>
    <w:rsid w:val="006C3360"/>
    <w:rsid w:val="006C586E"/>
    <w:rsid w:val="006D3807"/>
    <w:rsid w:val="006E623F"/>
    <w:rsid w:val="006F2BA2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7021"/>
    <w:rsid w:val="00781F77"/>
    <w:rsid w:val="007823F9"/>
    <w:rsid w:val="00796E99"/>
    <w:rsid w:val="007A6000"/>
    <w:rsid w:val="007B26A4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C96"/>
    <w:rsid w:val="008309E5"/>
    <w:rsid w:val="00836A26"/>
    <w:rsid w:val="00837C02"/>
    <w:rsid w:val="00841379"/>
    <w:rsid w:val="008438FF"/>
    <w:rsid w:val="00847685"/>
    <w:rsid w:val="008530BE"/>
    <w:rsid w:val="00854C68"/>
    <w:rsid w:val="00855BE9"/>
    <w:rsid w:val="00862DFA"/>
    <w:rsid w:val="00864A16"/>
    <w:rsid w:val="00864B49"/>
    <w:rsid w:val="00882E81"/>
    <w:rsid w:val="0088308A"/>
    <w:rsid w:val="00890745"/>
    <w:rsid w:val="00894DB8"/>
    <w:rsid w:val="008A34F8"/>
    <w:rsid w:val="008A7AA1"/>
    <w:rsid w:val="008B148C"/>
    <w:rsid w:val="008C5067"/>
    <w:rsid w:val="008D3A90"/>
    <w:rsid w:val="008D5EFF"/>
    <w:rsid w:val="008D638C"/>
    <w:rsid w:val="008D6BF2"/>
    <w:rsid w:val="008D6CEB"/>
    <w:rsid w:val="008F284F"/>
    <w:rsid w:val="008F490D"/>
    <w:rsid w:val="008F6F19"/>
    <w:rsid w:val="00902D3A"/>
    <w:rsid w:val="0090456C"/>
    <w:rsid w:val="009124D2"/>
    <w:rsid w:val="00920DFE"/>
    <w:rsid w:val="00923CCA"/>
    <w:rsid w:val="00923FE4"/>
    <w:rsid w:val="0092472E"/>
    <w:rsid w:val="00926389"/>
    <w:rsid w:val="00940F51"/>
    <w:rsid w:val="009460B9"/>
    <w:rsid w:val="0095229B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D3AC0"/>
    <w:rsid w:val="009E2D6D"/>
    <w:rsid w:val="009F5B6C"/>
    <w:rsid w:val="009F5F95"/>
    <w:rsid w:val="009F6849"/>
    <w:rsid w:val="00A01937"/>
    <w:rsid w:val="00A02795"/>
    <w:rsid w:val="00A030F8"/>
    <w:rsid w:val="00A10071"/>
    <w:rsid w:val="00A11793"/>
    <w:rsid w:val="00A11EDA"/>
    <w:rsid w:val="00A13794"/>
    <w:rsid w:val="00A16531"/>
    <w:rsid w:val="00A32E42"/>
    <w:rsid w:val="00A34681"/>
    <w:rsid w:val="00A36AB3"/>
    <w:rsid w:val="00A4129C"/>
    <w:rsid w:val="00A43674"/>
    <w:rsid w:val="00A52045"/>
    <w:rsid w:val="00A54648"/>
    <w:rsid w:val="00A615D4"/>
    <w:rsid w:val="00A63E83"/>
    <w:rsid w:val="00A72976"/>
    <w:rsid w:val="00A770C6"/>
    <w:rsid w:val="00A82929"/>
    <w:rsid w:val="00A84F5C"/>
    <w:rsid w:val="00A9173C"/>
    <w:rsid w:val="00A93C9A"/>
    <w:rsid w:val="00A96A49"/>
    <w:rsid w:val="00AA491C"/>
    <w:rsid w:val="00AA6371"/>
    <w:rsid w:val="00AA72D5"/>
    <w:rsid w:val="00AB508F"/>
    <w:rsid w:val="00AC1CD9"/>
    <w:rsid w:val="00AC2CC6"/>
    <w:rsid w:val="00AC5813"/>
    <w:rsid w:val="00AD0521"/>
    <w:rsid w:val="00AE1C04"/>
    <w:rsid w:val="00AE4972"/>
    <w:rsid w:val="00AF33BF"/>
    <w:rsid w:val="00AF46A4"/>
    <w:rsid w:val="00AF641B"/>
    <w:rsid w:val="00B04711"/>
    <w:rsid w:val="00B10437"/>
    <w:rsid w:val="00B22A91"/>
    <w:rsid w:val="00B27D14"/>
    <w:rsid w:val="00B3080F"/>
    <w:rsid w:val="00B30E19"/>
    <w:rsid w:val="00B3405E"/>
    <w:rsid w:val="00B34665"/>
    <w:rsid w:val="00B3674F"/>
    <w:rsid w:val="00B37F80"/>
    <w:rsid w:val="00B43800"/>
    <w:rsid w:val="00B534B9"/>
    <w:rsid w:val="00B61EBE"/>
    <w:rsid w:val="00B934AA"/>
    <w:rsid w:val="00B95F73"/>
    <w:rsid w:val="00B97F27"/>
    <w:rsid w:val="00BA3382"/>
    <w:rsid w:val="00BB1436"/>
    <w:rsid w:val="00BB7A3F"/>
    <w:rsid w:val="00BC3358"/>
    <w:rsid w:val="00BC6A31"/>
    <w:rsid w:val="00BD27C7"/>
    <w:rsid w:val="00BE1FB7"/>
    <w:rsid w:val="00C05FF1"/>
    <w:rsid w:val="00C101A7"/>
    <w:rsid w:val="00C12851"/>
    <w:rsid w:val="00C1445A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75752"/>
    <w:rsid w:val="00C7625E"/>
    <w:rsid w:val="00C90F50"/>
    <w:rsid w:val="00C95539"/>
    <w:rsid w:val="00C9673D"/>
    <w:rsid w:val="00C96FE3"/>
    <w:rsid w:val="00CA6209"/>
    <w:rsid w:val="00CB3112"/>
    <w:rsid w:val="00CB34E8"/>
    <w:rsid w:val="00CB430B"/>
    <w:rsid w:val="00CC3C91"/>
    <w:rsid w:val="00CD5616"/>
    <w:rsid w:val="00CE1A72"/>
    <w:rsid w:val="00CE73A0"/>
    <w:rsid w:val="00CF25DD"/>
    <w:rsid w:val="00CF48BC"/>
    <w:rsid w:val="00D02D6B"/>
    <w:rsid w:val="00D043A6"/>
    <w:rsid w:val="00D14351"/>
    <w:rsid w:val="00D2300E"/>
    <w:rsid w:val="00D33E19"/>
    <w:rsid w:val="00D46F74"/>
    <w:rsid w:val="00D50559"/>
    <w:rsid w:val="00D50565"/>
    <w:rsid w:val="00D52F9D"/>
    <w:rsid w:val="00D71AFC"/>
    <w:rsid w:val="00D7719D"/>
    <w:rsid w:val="00D773F0"/>
    <w:rsid w:val="00D81046"/>
    <w:rsid w:val="00D820F9"/>
    <w:rsid w:val="00D83762"/>
    <w:rsid w:val="00D92305"/>
    <w:rsid w:val="00D969E7"/>
    <w:rsid w:val="00DA6652"/>
    <w:rsid w:val="00DD69E0"/>
    <w:rsid w:val="00DF6422"/>
    <w:rsid w:val="00E029B6"/>
    <w:rsid w:val="00E035BA"/>
    <w:rsid w:val="00E03E81"/>
    <w:rsid w:val="00E10A68"/>
    <w:rsid w:val="00E111C1"/>
    <w:rsid w:val="00E254E2"/>
    <w:rsid w:val="00E46C26"/>
    <w:rsid w:val="00E540F9"/>
    <w:rsid w:val="00E56954"/>
    <w:rsid w:val="00E61782"/>
    <w:rsid w:val="00E70AF1"/>
    <w:rsid w:val="00E77E23"/>
    <w:rsid w:val="00E81806"/>
    <w:rsid w:val="00E91FA5"/>
    <w:rsid w:val="00E92377"/>
    <w:rsid w:val="00E937EB"/>
    <w:rsid w:val="00E94472"/>
    <w:rsid w:val="00E96351"/>
    <w:rsid w:val="00EA090B"/>
    <w:rsid w:val="00EA20EE"/>
    <w:rsid w:val="00EA5173"/>
    <w:rsid w:val="00EB4994"/>
    <w:rsid w:val="00ED4581"/>
    <w:rsid w:val="00EE12AE"/>
    <w:rsid w:val="00EE53B6"/>
    <w:rsid w:val="00EE69EF"/>
    <w:rsid w:val="00EE6C96"/>
    <w:rsid w:val="00EE7D78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34BA"/>
    <w:rsid w:val="00F35BBC"/>
    <w:rsid w:val="00F401EC"/>
    <w:rsid w:val="00F46129"/>
    <w:rsid w:val="00F548DB"/>
    <w:rsid w:val="00F71240"/>
    <w:rsid w:val="00F81CEF"/>
    <w:rsid w:val="00F82650"/>
    <w:rsid w:val="00F83D1C"/>
    <w:rsid w:val="00F84180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1C4D"/>
    <w:rsid w:val="00FD6ACE"/>
    <w:rsid w:val="00FE18A4"/>
    <w:rsid w:val="00FF01DA"/>
    <w:rsid w:val="00FF0DA3"/>
    <w:rsid w:val="00FF24C6"/>
    <w:rsid w:val="00FF4956"/>
    <w:rsid w:val="00FF58C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2015-06-10T07:10:00Z</dcterms:created>
  <dcterms:modified xsi:type="dcterms:W3CDTF">2015-06-10T07:12:00Z</dcterms:modified>
</cp:coreProperties>
</file>