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XVI Nadzwyczajna Sesja Rady Gminy Brudzeń Duży z dnia 21 lutego 2020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SESJI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13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86,67 %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Otwarcie sesji i stwierdzenie prawomocności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Zapoznanie z porządkiem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Rozpatrzenie projektów uchwał: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3.1. w sprawie określenia górnych stawek opłat ponoszonych przez właścicieli nieruchomości za usługi w zakresie opróżniania zbiorników bezodpływowych i transportu nieczystości ciekłych oraz odbierania odpadów komunalnych na terenie gminy Brudzeń Duży;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określenia górnych stawek opłat ponoszonych przez właścicieli nieruchomości za usługi w zakresie opróżniania zbiorników bezodpływowych i transportu nieczystości ciekłych oraz odbierania odpadów komunalnych na terenie gminy Brudzeń Duży;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3.2. w sprawie zarządzenia uzupełniających wyborów organów jednostek pomocniczych gminy na terenie Gminy Brudzeń Duży;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zarządzenia uzupełniających wyborów organów jednostek pomocniczych gminy na terenie Gminy Brudzeń Duży;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3.3. w sprawie wyrażenia zgody na dokonanie czynności związanych z nabyciem przez Gminę Brudzeń Duży nieruchomości gruntowej położonej w m. Karwosieki Cholewice;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wyrażenia zgody na dokonanie czynności związanych z nabyciem przez Gminę Brudzeń Duży nieruchomości gruntowej położonej w m. Karwosieki Cholewice;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3.4. w sprawie przyjęcia gminnego programu rewitalizacji pod nazwą: „Gminny Program Rewitalizacyjny Gminy Brudzeń Duży na lata 2019 – 2029”;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przyjęcia gminnego programu rewitalizacji pod nazwą: „Gminny Program Rewitalizacyjny Gminy Brudzeń Duży na lata 2019 – 2029”;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86.67 %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13.33 %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3.5. w sprawie niewyodrębnienia funduszu sołeckiego na rok 2021;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niewyodrębnienia funduszu sołeckiego na rok 2021;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odrzucono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35.71 %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57.14 %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7.14 %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 SIĘ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3.6. zmieniająca Uchwałę Budżetową Gminy Nr XIV/101/19 z dnia 30 grudnia 2019 roku;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zmieniająca Uchwałę Budżetową Gminy Nr XIV/101/19 z dnia 30 grudnia 2019 roku;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3.7. w sprawie Miejscowego planu zagospodarowania przestrzennego dla terenów działki Nr 419/2 w m. Siecień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Miejscowego planu zagospodarowania przestrzennego dla terenów działki Nr 419/2 w m. Siecień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21 lutego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83.33 %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16.67 %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Sprawy różne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5. Zakończenie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730448">
    <w:multiLevelType w:val="hybridMultilevel"/>
    <w:lvl w:ilvl="0" w:tplc="96137124">
      <w:start w:val="1"/>
      <w:numFmt w:val="decimal"/>
      <w:lvlText w:val="%1."/>
      <w:lvlJc w:val="left"/>
      <w:pPr>
        <w:ind w:left="720" w:hanging="360"/>
      </w:pPr>
    </w:lvl>
    <w:lvl w:ilvl="1" w:tplc="96137124" w:tentative="1">
      <w:start w:val="1"/>
      <w:numFmt w:val="lowerLetter"/>
      <w:lvlText w:val="%2."/>
      <w:lvlJc w:val="left"/>
      <w:pPr>
        <w:ind w:left="1440" w:hanging="360"/>
      </w:pPr>
    </w:lvl>
    <w:lvl w:ilvl="2" w:tplc="96137124" w:tentative="1">
      <w:start w:val="1"/>
      <w:numFmt w:val="lowerRoman"/>
      <w:lvlText w:val="%3."/>
      <w:lvlJc w:val="right"/>
      <w:pPr>
        <w:ind w:left="2160" w:hanging="180"/>
      </w:pPr>
    </w:lvl>
    <w:lvl w:ilvl="3" w:tplc="96137124" w:tentative="1">
      <w:start w:val="1"/>
      <w:numFmt w:val="decimal"/>
      <w:lvlText w:val="%4."/>
      <w:lvlJc w:val="left"/>
      <w:pPr>
        <w:ind w:left="2880" w:hanging="360"/>
      </w:pPr>
    </w:lvl>
    <w:lvl w:ilvl="4" w:tplc="96137124" w:tentative="1">
      <w:start w:val="1"/>
      <w:numFmt w:val="lowerLetter"/>
      <w:lvlText w:val="%5."/>
      <w:lvlJc w:val="left"/>
      <w:pPr>
        <w:ind w:left="3600" w:hanging="360"/>
      </w:pPr>
    </w:lvl>
    <w:lvl w:ilvl="5" w:tplc="96137124" w:tentative="1">
      <w:start w:val="1"/>
      <w:numFmt w:val="lowerRoman"/>
      <w:lvlText w:val="%6."/>
      <w:lvlJc w:val="right"/>
      <w:pPr>
        <w:ind w:left="4320" w:hanging="180"/>
      </w:pPr>
    </w:lvl>
    <w:lvl w:ilvl="6" w:tplc="96137124" w:tentative="1">
      <w:start w:val="1"/>
      <w:numFmt w:val="decimal"/>
      <w:lvlText w:val="%7."/>
      <w:lvlJc w:val="left"/>
      <w:pPr>
        <w:ind w:left="5040" w:hanging="360"/>
      </w:pPr>
    </w:lvl>
    <w:lvl w:ilvl="7" w:tplc="96137124" w:tentative="1">
      <w:start w:val="1"/>
      <w:numFmt w:val="lowerLetter"/>
      <w:lvlText w:val="%8."/>
      <w:lvlJc w:val="left"/>
      <w:pPr>
        <w:ind w:left="5760" w:hanging="360"/>
      </w:pPr>
    </w:lvl>
    <w:lvl w:ilvl="8" w:tplc="96137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30447">
    <w:multiLevelType w:val="hybridMultilevel"/>
    <w:lvl w:ilvl="0" w:tplc="1199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730447">
    <w:abstractNumId w:val="39730447"/>
  </w:num>
  <w:num w:numId="39730448">
    <w:abstractNumId w:val="397304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4766232" Type="http://schemas.microsoft.com/office/2011/relationships/commentsExtended" Target="commentsExtended.xml"/><Relationship Id="rId567294633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